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Wang Neng</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900" w:type="dxa"/>
            <w:vAlign w:val="bottom"/>
          </w:tcPr>
          <w:p>
            <w:pPr>
              <w:spacing w:after="0"/>
              <w:rPr>
                <w:sz w:val="17"/>
                <w:szCs w:val="17"/>
                <w:color w:val="auto"/>
              </w:rPr>
            </w:pPr>
          </w:p>
        </w:tc>
        <w:tc>
          <w:tcPr>
            <w:tcW w:w="156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LexinFintech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27/F CES TOWER</w:t>
            </w:r>
          </w:p>
        </w:tc>
        <w:tc>
          <w:tcPr>
            <w:tcW w:w="128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NO. 3099 KEYUAN SOUTH ROAD</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SHENZHEN F4</w:t>
            </w:r>
          </w:p>
        </w:tc>
        <w:tc>
          <w:tcPr>
            <w:tcW w:w="128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518057</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30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59"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right"/>
              <w:ind w:right="515"/>
              <w:spacing w:after="0"/>
              <w:rPr>
                <w:sz w:val="20"/>
                <w:szCs w:val="20"/>
                <w:color w:val="auto"/>
              </w:rPr>
            </w:pPr>
            <w:r>
              <w:rPr>
                <w:rFonts w:ascii="Times New Roman" w:cs="Times New Roman" w:eastAsia="Times New Roman" w:hAnsi="Times New Roman"/>
                <w:sz w:val="20"/>
                <w:szCs w:val="20"/>
                <w:color w:val="0000FF"/>
              </w:rPr>
              <w:t>45,000</w:t>
            </w:r>
          </w:p>
        </w:tc>
        <w:tc>
          <w:tcPr>
            <w:tcW w:w="8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color w:val="008000"/>
              </w:rPr>
              <w:t>(2)</w:t>
            </w: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Class A ordinary</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60,000</w:t>
            </w:r>
          </w:p>
        </w:tc>
        <w:tc>
          <w:tcPr>
            <w:tcW w:w="4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right"/>
              <w:ind w:right="495"/>
              <w:spacing w:after="0"/>
              <w:rPr>
                <w:sz w:val="20"/>
                <w:szCs w:val="20"/>
                <w:color w:val="auto"/>
              </w:rPr>
            </w:pPr>
            <w:r>
              <w:rPr>
                <w:rFonts w:ascii="Times New Roman" w:cs="Times New Roman" w:eastAsia="Times New Roman" w:hAnsi="Times New Roman"/>
                <w:sz w:val="20"/>
                <w:szCs w:val="20"/>
                <w:color w:val="0000FF"/>
              </w:rPr>
              <w:t>shares</w:t>
            </w:r>
          </w:p>
        </w:tc>
        <w:tc>
          <w:tcPr>
            <w:tcW w:w="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Acquired upon vesting of restricted shares units and held in the form of American depositary shares, each representing two Class A ordinary shares, including 15,000 restricted share units that vest on March 20, 2026.</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were granted on March 18, 2026 and will vest in equal installments on March 20, 2027, 2028, 2029 and 2030. They do not have an expiration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share unit represents contingent rights to receive one Class A ordinary share.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This amendment is being filed solely to update the number of securities in Table I. Other information remains unchanged from the form originally filed.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Neng Wang</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04/27/2026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45062" TargetMode="External"/><Relationship Id="rId11" Type="http://schemas.openxmlformats.org/officeDocument/2006/relationships/hyperlink" Target="http://www.sec.gov/cgi-bin/browse-edgar?action=getcompany&amp;CIK=00017082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2026-04-27T05:40:35Z</dcterms:created>
  <dcterms:modified xsi:type="dcterms:W3CDTF">2026-04-27T05:40:35Z</dcterms:modified>
</cp:coreProperties>
</file>