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lx-20260831.htm"/>
      <w:bookmarkStart w:id="1" w:name="kslx20260831"/>
      <w:bookmarkEnd w:id="0"/>
      <w:bookmarkEnd w:id="1"/>
      <w:r>
        <w:rPr/>
        <w:t> </w:t>
      </w:r>
    </w:p>
    <w:p>
      <w:pPr>
        <w:pStyle w:val="TextBody"/>
        <w:pBdr>
          <w:top w:val="double" w:sz="4" w:space="1" w:color="000000"/>
        </w:pBdr>
        <w:bidi w:val="0"/>
        <w:jc w:val="center"/>
        <w:rPr/>
      </w:pPr>
      <w:bookmarkStart w:id="2" w:name="ole_link3"/>
      <w:bookmarkStart w:id="3" w:name="ole_link4"/>
      <w:bookmarkEnd w:id="2"/>
      <w:bookmarkEnd w:id="3"/>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FORM 6-K</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 UNDER</w:t>
      </w:r>
    </w:p>
    <w:p>
      <w:pPr>
        <w:pStyle w:val="TextBody"/>
        <w:bidi w:val="0"/>
        <w:jc w:val="center"/>
        <w:rPr>
          <w:rFonts w:ascii="Times New Roman" w:hAnsi="Times New Roman"/>
          <w:b/>
          <w:color w:val="000000"/>
          <w:sz w:val="24"/>
        </w:rPr>
      </w:pPr>
      <w:r>
        <w:rPr>
          <w:rFonts w:ascii="Times New Roman" w:hAnsi="Times New Roman"/>
          <w:b/>
          <w:color w:val="000000"/>
          <w:sz w:val="24"/>
        </w:rPr>
        <w:t>THE SECURITIES EXCHANGE ACT OF 1934</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 the month of August 2026</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Commission File Number: 001-38328</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LexinFintech Holdings Ltd.</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4"/>
        </w:rPr>
      </w:pPr>
      <w:r>
        <w:rPr>
          <w:rFonts w:ascii="Times New Roman" w:hAnsi="Times New Roman"/>
          <w:b/>
          <w:color w:val="000000"/>
          <w:sz w:val="24"/>
        </w:rPr>
        <w:t>27/F CES Tower</w:t>
      </w:r>
      <w:r>
        <w:rPr>
          <w:rFonts w:ascii="Times New Roman" w:hAnsi="Times New Roman"/>
          <w:color w:val="000000"/>
          <w:sz w:val="24"/>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No. 3099 Keyuan South Road</w:t>
      </w:r>
    </w:p>
    <w:p>
      <w:pPr>
        <w:pStyle w:val="TextBody"/>
        <w:bidi w:val="0"/>
        <w:jc w:val="center"/>
        <w:rPr>
          <w:rFonts w:ascii="Times New Roman" w:hAnsi="Times New Roman"/>
          <w:sz w:val="24"/>
        </w:rPr>
      </w:pPr>
      <w:r>
        <w:rPr>
          <w:rFonts w:ascii="Times New Roman" w:hAnsi="Times New Roman"/>
          <w:b/>
          <w:color w:val="000000"/>
          <w:sz w:val="24"/>
        </w:rPr>
        <w:t>Nanshan District, Shenzhen 518057</w:t>
      </w:r>
      <w:r>
        <w:rPr>
          <w:rFonts w:ascii="Times New Roman" w:hAnsi="Times New Roman"/>
          <w:color w:val="000000"/>
          <w:sz w:val="24"/>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The People's Republic of China</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Indicate by check mark whether the registrant files or will file annual reports under cover of Form 20-F or Form 40-F.</w:t>
      </w:r>
    </w:p>
    <w:p>
      <w:pPr>
        <w:pStyle w:val="TextBody"/>
        <w:bidi w:val="0"/>
        <w:spacing w:before="240" w:after="283"/>
        <w:jc w:val="center"/>
        <w:rPr>
          <w:rFonts w:ascii="Times New Roman" w:hAnsi="Times New Roman"/>
          <w:sz w:val="24"/>
        </w:rPr>
      </w:pPr>
      <w:r>
        <w:rPr>
          <w:rFonts w:ascii="Times New Roman" w:hAnsi="Times New Roman"/>
          <w:color w:val="000000"/>
          <w:sz w:val="24"/>
        </w:rPr>
        <w:t>Form 20-F ___</w:t>
      </w:r>
      <w:r>
        <w:rPr>
          <w:rFonts w:ascii="Times New Roman" w:hAnsi="Times New Roman"/>
          <w:color w:val="000000"/>
          <w:sz w:val="24"/>
          <w:u w:val="single"/>
        </w:rPr>
        <w:t>X</w:t>
      </w:r>
      <w:r>
        <w:rPr>
          <w:rFonts w:ascii="Times New Roman" w:hAnsi="Times New Roman"/>
          <w:color w:val="000000"/>
          <w:sz w:val="24"/>
        </w:rPr>
        <w:t>____ Form 40-F _________</w:t>
      </w:r>
    </w:p>
    <w:p>
      <w:pPr>
        <w:pStyle w:val="TextBody"/>
        <w:pBdr>
          <w:bottom w:val="double" w:sz="4"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SIGNATURES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3238" w:type="dxa"/>
        <w:jc w:val="left"/>
        <w:tblInd w:w="0" w:type="dxa"/>
        <w:tblLayout w:type="fixed"/>
        <w:tblCellMar>
          <w:top w:w="28" w:type="dxa"/>
          <w:left w:w="28" w:type="dxa"/>
          <w:bottom w:w="28" w:type="dxa"/>
          <w:right w:w="28" w:type="dxa"/>
        </w:tblCellMar>
      </w:tblPr>
      <w:tblGrid>
        <w:gridCol w:w="751"/>
        <w:gridCol w:w="146"/>
        <w:gridCol w:w="2341"/>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323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LexinFintech Holdings Ltd.</w:t>
            </w:r>
          </w:p>
        </w:tc>
      </w:tr>
      <w:tr>
        <w:trPr/>
        <w:tc>
          <w:tcPr>
            <w:tcW w:w="3238" w:type="dxa"/>
            <w:gridSpan w:val="3"/>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James Xigui Zheng</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James Xigui Zheng</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Financial Officer</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 August 31,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Exhibit Index</w:t>
      </w:r>
    </w:p>
    <w:p>
      <w:pPr>
        <w:pStyle w:val="TextBody"/>
        <w:bidi w:val="0"/>
        <w:spacing w:before="240" w:after="283"/>
        <w:jc w:val="left"/>
        <w:rPr/>
      </w:pPr>
      <w:hyperlink w:anchor="lx-ex99_1.htm">
        <w:r>
          <w:rPr>
            <w:rStyle w:val="InternetLink"/>
            <w:rFonts w:ascii="Times New Roman" w:hAnsi="Times New Roman"/>
            <w:color w:val="0000FF"/>
            <w:sz w:val="24"/>
            <w:u w:val="single"/>
          </w:rPr>
          <w:t>Exhibit 99.1—Press Release</w:t>
        </w:r>
      </w:hyperlink>
      <w:r>
        <w:rPr>
          <w:rFonts w:ascii="Times New Roman" w:hAnsi="Times New Roman"/>
          <w:color w:val="000000"/>
          <w:sz w:val="24"/>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 w:name="lx-ex99_1.htm"/>
      <w:bookmarkStart w:id="5" w:name="kslxex99_1"/>
      <w:bookmarkEnd w:id="4"/>
      <w:bookmarkEnd w:id="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LexinFintech Holdings Ltd. Reports Second Quarter 2026</w:t>
      </w:r>
    </w:p>
    <w:p>
      <w:pPr>
        <w:pStyle w:val="TextBody"/>
        <w:bidi w:val="0"/>
        <w:jc w:val="center"/>
        <w:rPr>
          <w:rFonts w:ascii="Times New Roman" w:hAnsi="Times New Roman"/>
          <w:b/>
          <w:color w:val="000000"/>
          <w:sz w:val="20"/>
        </w:rPr>
      </w:pPr>
      <w:r>
        <w:rPr>
          <w:rFonts w:ascii="Times New Roman" w:hAnsi="Times New Roman"/>
          <w:b/>
          <w:color w:val="000000"/>
          <w:sz w:val="20"/>
        </w:rPr>
        <w:t>Unaudited Financial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SHENZHEN, China, August 31, 2026 (GLOBE NEWSWIRE) -- LexinFintech Holdings Ltd. (“Lexin” or the “Company”) (NASDAQ: LX), a leading technology-empowered personal financial service enabler in China, today announced its unaudited financial results for the quarter ended June 30,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Mr. Jay Wenjie Xiao, Chairman and Chief Executive Officer of Lexin, commented, "During the second quarter, the industry environment remained complex. Nevertheless, by prioritizing regulatory compliance and leveraging our diversified business ecosystem, we maintained our operational resilience. For the quarter, our GMV reached 55.4 billion, with total revenue of 3.2 billion and net income of 101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late June, risk events involving certain industry peers led to a sector-wide tightening of funding supply, impacting broader market sentiment and loan volume. In response, we have taken a disciplined approach to fortify our position: carefully managing our cost structure to enhance operational resilience, refining our risk parameters to safeguard asset quality, optimizing liquidity management for capital efficiency, and advancing our business diversification.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near-term market uncertainty may persist for some time, our diversified business ecosystem provides a foundation for long-term sustainable operations and tech-empowerment transformation. We remain confident in the long-term fundamentals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Looking ahead, given the ongoing industry uncertainties, the Board has made a prudent decision to adjust our dividend policy to an annual evaluation cycle to preserve liquidity and maintain a financial buffer to support our business transformation. When market conditions stabilize and our operational performance recovers, the Board will actively evaluate options, including potential share repurchases, to enhance shareholder returns," Mr. Xiao concluded.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Mr. James Zheng, Chief Financial Officer of Lexin, commented, "During the second quarter, we continued to advance our business transformation under the new regulatory framework that took effect in the fourth quarter of last year, achieving progress that largely met our expectations.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recent risk events involving certain industry players have sector-wide effects, and we have been correspondingly impacted by these headwinds. While we are taking proactive measures to mitigate these uncertainties, our near-term performance will foreseeably remain under considerable pressure. As we manage through this industry transition, we remain highly disciplined, scaling back volume to prioritize asset quality. Our immediate focus is to safeguard our liquidity, fortify our balance sheet, and position the Company to resume sustainable growth once market conditions normalize</w:t>
      </w:r>
      <w:r>
        <w:rPr>
          <w:rFonts w:ascii="Arial" w:hAnsi="Arial"/>
          <w:color w:val="000000"/>
          <w:sz w:val="22"/>
        </w:rPr>
        <w:t>.</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Second Quarter Operational Highlights:</w:t>
      </w:r>
      <w:r>
        <w:rPr>
          <w:rFonts w:ascii="Times New Roman" w:hAnsi="Times New Roman"/>
          <w:color w:val="000000"/>
          <w:sz w:val="20"/>
        </w:rPr>
        <w:t xml:space="preserve">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User Base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number of registered users across our platform reached 253 million as of June 30, 2026, representing an increase of 7.2% from 236 million as of June 30, 2025.</w:t>
      </w:r>
    </w:p>
    <w:p>
      <w:pPr>
        <w:pStyle w:val="TextBody"/>
        <w:bidi w:val="0"/>
        <w:spacing w:before="120" w:after="283"/>
        <w:jc w:val="left"/>
        <w:rPr>
          <w:color w:val="000000"/>
        </w:rPr>
      </w:pPr>
      <w:r>
        <w:rPr>
          <w:color w:val="000000"/>
        </w:rPr>
        <w:t>•</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Number of active users</w:t>
      </w:r>
      <w:r>
        <w:rPr>
          <w:rFonts w:ascii="Times New Roman" w:hAnsi="Times New Roman"/>
          <w:color w:val="000000"/>
          <w:sz w:val="13"/>
        </w:rPr>
        <w:t xml:space="preserve">1 </w:t>
      </w:r>
      <w:r>
        <w:rPr>
          <w:rFonts w:ascii="Times New Roman" w:hAnsi="Times New Roman"/>
          <w:color w:val="000000"/>
          <w:sz w:val="20"/>
        </w:rPr>
        <w:t xml:space="preserve">in the second quarter of 2026 was 5.0 million, representing an increase of 6.1% from 4.7 million in the second quarter of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Number of cumulative borrowers with successful drawdown was 39.2 million as of June 30, 2026, an increase of 11.4% from 35.2 million as of June 30, 2025.</w:t>
      </w:r>
    </w:p>
    <w:p>
      <w:pPr>
        <w:pStyle w:val="TextBody"/>
        <w:bidi w:val="0"/>
        <w:spacing w:before="240" w:after="283"/>
        <w:jc w:val="center"/>
        <w:rPr>
          <w:rFonts w:ascii="Times New Roman" w:hAnsi="Times New Roman"/>
          <w:sz w:val="18"/>
        </w:rPr>
      </w:pPr>
      <w:r>
        <w:rPr>
          <w:rFonts w:ascii="Times New Roman" w:hAnsi="Times New Roman"/>
          <w:color w:val="000000"/>
          <w:sz w:val="18"/>
        </w:rPr>
        <w:t xml:space="preserve">Page </w:t>
      </w:r>
      <w:r>
        <w:rPr>
          <w:rFonts w:ascii="Times New Roman" w:hAnsi="Times New Roman"/>
          <w:b/>
          <w:color w:val="000000"/>
          <w:sz w:val="18"/>
        </w:rPr>
        <w:t>1</w:t>
      </w:r>
      <w:r>
        <w:rPr>
          <w:rFonts w:ascii="Times New Roman" w:hAnsi="Times New Roman"/>
          <w:color w:val="000000"/>
          <w:sz w:val="18"/>
        </w:rPr>
        <w:t xml:space="preserve"> 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Loan Facilitation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cumulatively originated RMB1,644 billion in loans, an increase of 15.0% from RMB1,430 billion as of June 30, 2025.</w:t>
      </w:r>
    </w:p>
    <w:p>
      <w:pPr>
        <w:pStyle w:val="TextBody"/>
        <w:bidi w:val="0"/>
        <w:spacing w:before="120" w:after="283"/>
        <w:jc w:val="left"/>
        <w:rPr>
          <w:color w:val="000000"/>
        </w:rPr>
      </w:pPr>
      <w:r>
        <w:rPr>
          <w:color w:val="000000"/>
        </w:rPr>
        <w:t>•</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Total loan originations</w:t>
      </w:r>
      <w:r>
        <w:rPr>
          <w:rFonts w:ascii="Times New Roman" w:hAnsi="Times New Roman"/>
          <w:color w:val="000000"/>
          <w:sz w:val="13"/>
        </w:rPr>
        <w:t xml:space="preserve">2 </w:t>
      </w:r>
      <w:r>
        <w:rPr>
          <w:rFonts w:ascii="Times New Roman" w:hAnsi="Times New Roman"/>
          <w:color w:val="000000"/>
          <w:sz w:val="20"/>
        </w:rPr>
        <w:t xml:space="preserve">in the second quarter of 2026 was RMB55.4 billion, an increase of 4.8% from RMB52.9 billion in the second quarter of 2025. </w:t>
      </w:r>
    </w:p>
    <w:p>
      <w:pPr>
        <w:pStyle w:val="TextBody"/>
        <w:bidi w:val="0"/>
        <w:spacing w:before="120" w:after="283"/>
        <w:jc w:val="left"/>
        <w:rPr>
          <w:color w:val="000000"/>
        </w:rPr>
      </w:pPr>
      <w:r>
        <w:rPr>
          <w:color w:val="000000"/>
        </w:rPr>
        <w:t>•</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Total outstanding principal balance of loans</w:t>
      </w:r>
      <w:r>
        <w:rPr>
          <w:rFonts w:ascii="Times New Roman" w:hAnsi="Times New Roman"/>
          <w:color w:val="000000"/>
          <w:sz w:val="13"/>
        </w:rPr>
        <w:t xml:space="preserve">3 </w:t>
      </w:r>
      <w:r>
        <w:rPr>
          <w:rFonts w:ascii="Times New Roman" w:hAnsi="Times New Roman"/>
          <w:color w:val="000000"/>
          <w:sz w:val="20"/>
        </w:rPr>
        <w:t>was RMB93.7 billion as of June 30, 2026, representing a decrease of 11.4% from RMB106 billion as of June 30, 2025.</w:t>
      </w:r>
    </w:p>
    <w:p>
      <w:pPr>
        <w:pStyle w:val="TextBody"/>
        <w:bidi w:val="0"/>
        <w:spacing w:lineRule="auto" w:line="360" w:before="160" w:after="283"/>
        <w:jc w:val="left"/>
        <w:rPr>
          <w:rFonts w:ascii="Times New Roman" w:hAnsi="Times New Roman"/>
          <w:sz w:val="13"/>
        </w:rPr>
      </w:pPr>
      <w:r>
        <w:rPr>
          <w:rFonts w:ascii="Times New Roman" w:hAnsi="Times New Roman"/>
          <w:b/>
          <w:color w:val="000000"/>
          <w:sz w:val="20"/>
        </w:rPr>
        <w:t>Credit Performance</w:t>
      </w:r>
      <w:r>
        <w:rPr>
          <w:rFonts w:ascii="Times New Roman" w:hAnsi="Times New Roman"/>
          <w:b/>
          <w:color w:val="000000"/>
          <w:sz w:val="13"/>
        </w:rPr>
        <w:t>4</w:t>
      </w:r>
    </w:p>
    <w:p>
      <w:pPr>
        <w:pStyle w:val="TextBody"/>
        <w:bidi w:val="0"/>
        <w:spacing w:before="120" w:after="283"/>
        <w:jc w:val="left"/>
        <w:rPr>
          <w:color w:val="000000"/>
        </w:rPr>
      </w:pPr>
      <w:r>
        <w:rPr>
          <w:color w:val="000000"/>
        </w:rPr>
        <w:t>•</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90 day+ delinquency ratio</w:t>
      </w:r>
      <w:r>
        <w:rPr>
          <w:rFonts w:ascii="Times New Roman" w:hAnsi="Times New Roman"/>
          <w:color w:val="000000"/>
          <w:sz w:val="13"/>
        </w:rPr>
        <w:t xml:space="preserve">5 </w:t>
      </w:r>
      <w:r>
        <w:rPr>
          <w:rFonts w:ascii="Times New Roman" w:hAnsi="Times New Roman"/>
          <w:color w:val="000000"/>
          <w:sz w:val="20"/>
        </w:rPr>
        <w:t>was 3.6% as of June 30, 2026, as compared with 3.5% as of March 31,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First payment default rate (30 day+) for new loan originations was below 1% as of June 30, 2026.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Installment E-commerce Platform Service</w:t>
      </w:r>
    </w:p>
    <w:p>
      <w:pPr>
        <w:pStyle w:val="TextBody"/>
        <w:bidi w:val="0"/>
        <w:spacing w:before="120" w:after="283"/>
        <w:jc w:val="left"/>
        <w:rPr>
          <w:color w:val="000000"/>
        </w:rPr>
      </w:pPr>
      <w:r>
        <w:rPr>
          <w:color w:val="000000"/>
        </w:rPr>
        <w:t>•</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GMV</w:t>
      </w:r>
      <w:r>
        <w:rPr>
          <w:rFonts w:ascii="Times New Roman" w:hAnsi="Times New Roman"/>
          <w:color w:val="000000"/>
          <w:sz w:val="13"/>
        </w:rPr>
        <w:t xml:space="preserve">6 </w:t>
      </w:r>
      <w:r>
        <w:rPr>
          <w:rFonts w:ascii="Times New Roman" w:hAnsi="Times New Roman"/>
          <w:color w:val="000000"/>
          <w:sz w:val="20"/>
        </w:rPr>
        <w:t xml:space="preserve">in the second quarter of 2026 for our installment e-commerce platform service was RMB2,342 million, representing an increase of 15.5% from RMB2,029 million in the second quarter of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second quarter of 2026, our installment e-commerce platform service served over 700,000 users.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Other Operational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weighted average tenor of loans originated in the second quarter of 2026 was approximately 10.7 months, as compared with 13.2 months in the second quarter of 2025. </w:t>
      </w:r>
    </w:p>
    <w:p>
      <w:pPr>
        <w:pStyle w:val="TextBody"/>
        <w:bidi w:val="0"/>
        <w:spacing w:before="120" w:after="283"/>
        <w:jc w:val="left"/>
        <w:rPr>
          <w:color w:val="000000"/>
        </w:rPr>
      </w:pPr>
      <w:r>
        <w:rPr>
          <w:color w:val="000000"/>
        </w:rPr>
        <w:t>•</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Repeated borrowers’ contribution</w:t>
      </w:r>
      <w:r>
        <w:rPr>
          <w:rFonts w:ascii="Times New Roman" w:hAnsi="Times New Roman"/>
          <w:color w:val="000000"/>
          <w:sz w:val="13"/>
        </w:rPr>
        <w:t xml:space="preserve">7 </w:t>
      </w:r>
      <w:r>
        <w:rPr>
          <w:rFonts w:ascii="Times New Roman" w:hAnsi="Times New Roman"/>
          <w:color w:val="000000"/>
          <w:sz w:val="20"/>
        </w:rPr>
        <w:t xml:space="preserve">of loans across our platform for the second quarter of 2026 was 85.7%.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Second Quarter 2026 Financial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operating revenue was RMB3,187 million, representing a decrease of 11.2% from the second quarter of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Credit facilitation service income was RMB1,930 million, representing a decrease of 15.0% from the second quarter of 2025. Tech-empowerment service income was RMB473 million, representing a decrease of 43.0% from the second quarter of 2025. Installment e-commerce platform service income was RMB784 million, representing an increase of 60.8% from the second quarter of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attributable to ordinary shareholders of the Company was RMB101 million, representing a decrease of 80.2% from the second quarter of 2025. Net income per ADS attributable to ordinary shareholders of the Company was RMB0.61 on a fully diluted basis.</w:t>
      </w:r>
    </w:p>
    <w:p>
      <w:pPr>
        <w:pStyle w:val="TextBody"/>
        <w:bidi w:val="0"/>
        <w:spacing w:before="120" w:after="283"/>
        <w:jc w:val="left"/>
        <w:rPr>
          <w:color w:val="000000"/>
        </w:rPr>
      </w:pPr>
      <w:r>
        <w:rPr>
          <w:color w:val="000000"/>
        </w:rPr>
        <w:t>•</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Adjusted net income attributable to ordinary shareholders of the Company</w:t>
      </w:r>
      <w:r>
        <w:rPr>
          <w:rFonts w:ascii="Times New Roman" w:hAnsi="Times New Roman"/>
          <w:color w:val="000000"/>
          <w:sz w:val="13"/>
        </w:rPr>
        <w:t xml:space="preserve">8 </w:t>
      </w:r>
      <w:r>
        <w:rPr>
          <w:rFonts w:ascii="Times New Roman" w:hAnsi="Times New Roman"/>
          <w:color w:val="000000"/>
          <w:sz w:val="20"/>
        </w:rPr>
        <w:t>was RMB127 million, representing a decrease of 76.4% from the second quarter of 2025. Adjusted net income per ADS attributable to ordinary shareholders of the Company</w:t>
      </w:r>
      <w:r>
        <w:rPr>
          <w:rFonts w:ascii="Times New Roman" w:hAnsi="Times New Roman"/>
          <w:color w:val="000000"/>
          <w:sz w:val="13"/>
        </w:rPr>
        <w:t xml:space="preserve">8 </w:t>
      </w:r>
      <w:r>
        <w:rPr>
          <w:rFonts w:ascii="Times New Roman" w:hAnsi="Times New Roman"/>
          <w:color w:val="000000"/>
          <w:sz w:val="20"/>
        </w:rPr>
        <w:t>was RMB0.76 on a fully diluted basis.</w:t>
      </w:r>
    </w:p>
    <w:p>
      <w:pPr>
        <w:pStyle w:val="TextBody"/>
        <w:bidi w:val="0"/>
        <w:jc w:val="left"/>
        <w:rPr>
          <w:rFonts w:ascii="Times New Roman" w:hAnsi="Times New Roman"/>
          <w:color w:val="000000"/>
          <w:sz w:val="20"/>
        </w:rPr>
      </w:pPr>
      <w:r>
        <w:rPr>
          <w:rFonts w:ascii="Times New Roman" w:hAnsi="Times New Roman"/>
          <w:color w:val="000000"/>
          <w:sz w:val="20"/>
        </w:rPr>
        <w:t>__________________________</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1.</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Active users refer to, for a specified period, users who made at least one transaction during that period through our platform or through our third-party partners’ platforms using the credit line granted by us.</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2.</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Total loan originations refer to the total principal amount of loans originated during the given period through our platform or through our third-party partners' platforms.</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3.</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Total outstanding principal balance of loans refers to the total amount of principal outstanding for loans facilitated and originated at the end of each period, including loans guaranteed by our financial guarantee companies and the loans facilitated across third party platforms that we bear principal risk and excluding loans delinquent for more than 180 days that are charged-off.</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4.</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Loans under Intelligent Credit Platform are excluded from the calculation of credit performance. Intelligent Credit Platform (ICP) is an intelligent platform on our “Fenqile” app, under which we match borrowers and financial institutions through big data and cloud computing technology. For loans facilitated through ICP, the Company does not bear principal risk.</w:t>
      </w:r>
    </w:p>
    <w:p>
      <w:pPr>
        <w:pStyle w:val="TextBody"/>
        <w:bidi w:val="0"/>
        <w:spacing w:before="240" w:after="283"/>
        <w:jc w:val="center"/>
        <w:rPr>
          <w:rFonts w:ascii="Times New Roman" w:hAnsi="Times New Roman"/>
          <w:sz w:val="18"/>
        </w:rPr>
      </w:pPr>
      <w:r>
        <w:rPr>
          <w:rFonts w:ascii="Times New Roman" w:hAnsi="Times New Roman"/>
          <w:color w:val="000000"/>
          <w:sz w:val="18"/>
        </w:rPr>
        <w:t xml:space="preserve">Page </w:t>
      </w:r>
      <w:r>
        <w:rPr>
          <w:rFonts w:ascii="Times New Roman" w:hAnsi="Times New Roman"/>
          <w:b/>
          <w:color w:val="000000"/>
          <w:sz w:val="18"/>
        </w:rPr>
        <w:t>2</w:t>
      </w:r>
      <w:r>
        <w:rPr>
          <w:rFonts w:ascii="Times New Roman" w:hAnsi="Times New Roman"/>
          <w:color w:val="000000"/>
          <w:sz w:val="18"/>
        </w:rPr>
        <w:t xml:space="preserve"> 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5.</w:t>
      </w:r>
    </w:p>
    <w:p>
      <w:pPr>
        <w:pStyle w:val="TextBody"/>
        <w:bidi w:val="0"/>
        <w:spacing w:before="120" w:after="283"/>
        <w:jc w:val="left"/>
        <w:rPr>
          <w:color w:val="000000"/>
        </w:rPr>
      </w:pPr>
      <w:r>
        <w:rPr>
          <w:color w:val="000000"/>
        </w:rPr>
        <w:t>“</w:t>
      </w:r>
      <w:r>
        <w:rPr>
          <w:rFonts w:ascii="Times New Roman" w:hAnsi="Times New Roman"/>
          <w:i/>
          <w:color w:val="000000"/>
          <w:sz w:val="15"/>
        </w:rPr>
        <w:t>90 day+ delinquency rate” refers to the outstanding principal balance of on- and off-balance sheet loans that were 91 to 180 calendar days past due as a percentage of the total outstanding principal balance of on- and off-balance sheet loans across our platform and those loans across third party platforms that we bear principle risk as of a specific date. Loans that are charged-off and loans under “ICP”, E-commerce business and overseas are not included in the delinquency rate calculation.</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6.</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GMV refers to the total value of transactions completed for products purchased on our e-commerce and Maiya channel, net of returns.</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7.</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Repeated borrowers’ contribution for a given period refers to the principal amount of loans borrowed during that period by borrowers who had previously made at least one successful drawdown as a percentage of the total loan facilitation and origination volume through our platform during that period.</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8.</w:t>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Adjusted net income attributable to ordinary shareholders of the Company, adjusted net income per ordinary share and per ADS attributable to ordinary shareholders of the Company are non-GAAP financial measures. For more information on non-GAAP financial measures, please see the section of “Use of Non-GAAP Financial Measures Statement” and the tables captioned “Unaudited Reconciliations of GAAP and Non-GAAP Results” set forth at the end of this press release.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Second Quarter 2026 Financial Results:</w:t>
      </w:r>
    </w:p>
    <w:p>
      <w:pPr>
        <w:pStyle w:val="TextBody"/>
        <w:bidi w:val="0"/>
        <w:spacing w:before="120" w:after="283"/>
        <w:jc w:val="left"/>
        <w:rPr>
          <w:rFonts w:ascii="Times New Roman" w:hAnsi="Times New Roman"/>
          <w:sz w:val="20"/>
        </w:rPr>
      </w:pPr>
      <w:r>
        <w:rPr>
          <w:rFonts w:ascii="Times New Roman" w:hAnsi="Times New Roman"/>
          <w:b/>
          <w:color w:val="000000"/>
          <w:sz w:val="20"/>
        </w:rPr>
        <w:t>Operating revenue</w:t>
      </w:r>
      <w:r>
        <w:rPr>
          <w:rFonts w:ascii="Times New Roman" w:hAnsi="Times New Roman"/>
          <w:color w:val="000000"/>
          <w:sz w:val="20"/>
        </w:rPr>
        <w:t xml:space="preserve"> was RMB3,187 million in the second quarter of 2026, as compared to RMB3,587 million in the second quarter of 2025.</w:t>
      </w:r>
    </w:p>
    <w:p>
      <w:pPr>
        <w:pStyle w:val="TextBody"/>
        <w:bidi w:val="0"/>
        <w:spacing w:before="240" w:after="283"/>
        <w:jc w:val="left"/>
        <w:rPr>
          <w:rFonts w:ascii="Times New Roman" w:hAnsi="Times New Roman"/>
          <w:sz w:val="20"/>
        </w:rPr>
      </w:pPr>
      <w:r>
        <w:rPr>
          <w:rFonts w:ascii="Times New Roman" w:hAnsi="Times New Roman"/>
          <w:b/>
          <w:color w:val="000000"/>
          <w:sz w:val="20"/>
        </w:rPr>
        <w:t>Credit facilitation service income</w:t>
      </w:r>
      <w:r>
        <w:rPr>
          <w:rFonts w:ascii="Times New Roman" w:hAnsi="Times New Roman"/>
          <w:color w:val="000000"/>
          <w:sz w:val="20"/>
        </w:rPr>
        <w:t xml:space="preserve"> was RMB1,930 million in the second quarter of 2026, as compared to RMB2,270 million in the second quarter of 2025. The decrease was due to the decrease in loan facilitation and servicing fees-credit oriented revenue, as well as financing income.</w:t>
      </w:r>
    </w:p>
    <w:p>
      <w:pPr>
        <w:pStyle w:val="TextBody"/>
        <w:bidi w:val="0"/>
        <w:spacing w:before="240" w:after="283"/>
        <w:jc w:val="left"/>
        <w:rPr>
          <w:rFonts w:ascii="Times New Roman" w:hAnsi="Times New Roman"/>
          <w:sz w:val="20"/>
        </w:rPr>
      </w:pPr>
      <w:r>
        <w:rPr>
          <w:rFonts w:ascii="Times New Roman" w:hAnsi="Times New Roman"/>
          <w:i/>
          <w:color w:val="000000"/>
          <w:sz w:val="20"/>
        </w:rPr>
        <w:t>Loan facilitation and servicing fees-credit oriented</w:t>
      </w:r>
      <w:r>
        <w:rPr>
          <w:rFonts w:ascii="Times New Roman" w:hAnsi="Times New Roman"/>
          <w:color w:val="000000"/>
          <w:sz w:val="20"/>
        </w:rPr>
        <w:t xml:space="preserve"> was RMB738 million in the second quarter of 2026, as compared to RMB1,131 million in the second quarter of 2025. The decrease was primarily due to the decrease in the APR of off-balance sheet loans and the decrease in origination of off-balance sheet loans.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Guarantee income</w:t>
      </w:r>
      <w:r>
        <w:rPr>
          <w:rFonts w:ascii="Times New Roman" w:hAnsi="Times New Roman"/>
          <w:color w:val="000000"/>
          <w:sz w:val="20"/>
        </w:rPr>
        <w:t xml:space="preserve"> was RMB759 million in the second quarter of 2026, as compared to RMB571 million in the second quarter of 2025. The increase was primarily due to the increase of outstanding balances in the off-balance sheet loans funded by certain institutional funding partners, which are accounted for under ASC 460, Guarantees.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Financing income</w:t>
      </w:r>
      <w:r>
        <w:rPr>
          <w:rFonts w:ascii="Times New Roman" w:hAnsi="Times New Roman"/>
          <w:color w:val="000000"/>
          <w:sz w:val="20"/>
        </w:rPr>
        <w:t xml:space="preserve"> was RMB433 million in the second quarter of 2026, as compared to RMB568 million in the second quarter of 2025.The decrease was primarily driven by the decrease in the outstanding balances of on-balance sheet loans.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Tech-empowerment service income</w:t>
      </w:r>
      <w:r>
        <w:rPr>
          <w:rFonts w:ascii="Times New Roman" w:hAnsi="Times New Roman"/>
          <w:color w:val="000000"/>
          <w:sz w:val="20"/>
        </w:rPr>
        <w:t xml:space="preserve"> was RMB473 million in the second quarter of 2026, as compared to RMB830 million in the second quarter of 2025. The decrease was primarily due to the decrease of loan facilitation volume through ICP.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Installment e-commerce platform service income</w:t>
      </w:r>
      <w:r>
        <w:rPr>
          <w:rFonts w:ascii="Times New Roman" w:hAnsi="Times New Roman"/>
          <w:color w:val="000000"/>
          <w:sz w:val="20"/>
        </w:rPr>
        <w:t xml:space="preserve"> was RMB784 million in the second quarter of 2026, as compared to RMB487 million in the second quarter of 2025. The increase was primarily driven by the increase in transaction volume.</w:t>
      </w:r>
    </w:p>
    <w:p>
      <w:pPr>
        <w:pStyle w:val="TextBody"/>
        <w:bidi w:val="0"/>
        <w:spacing w:before="240" w:after="120"/>
        <w:jc w:val="left"/>
        <w:rPr>
          <w:rFonts w:ascii="Times New Roman" w:hAnsi="Times New Roman"/>
          <w:sz w:val="20"/>
        </w:rPr>
      </w:pPr>
      <w:r>
        <w:rPr>
          <w:rFonts w:ascii="Times New Roman" w:hAnsi="Times New Roman"/>
          <w:b/>
          <w:color w:val="000000"/>
          <w:sz w:val="20"/>
        </w:rPr>
        <w:t>Cost of sales</w:t>
      </w:r>
      <w:r>
        <w:rPr>
          <w:rFonts w:ascii="Times New Roman" w:hAnsi="Times New Roman"/>
          <w:color w:val="000000"/>
          <w:sz w:val="20"/>
        </w:rPr>
        <w:t xml:space="preserve"> consisted of cost of inventory sold and other costs. Cost of sales was RMB484 million in the second quarter of 2026, as compared to RMB426 million in the second quarter of 2025. The increase was primarily driven by the increase in transaction volume of online direct sales which is recorded on a gross basis.</w:t>
      </w:r>
    </w:p>
    <w:p>
      <w:pPr>
        <w:pStyle w:val="TextBody"/>
        <w:bidi w:val="0"/>
        <w:spacing w:before="120" w:after="120"/>
        <w:jc w:val="left"/>
        <w:rPr>
          <w:rFonts w:ascii="Times New Roman" w:hAnsi="Times New Roman"/>
          <w:sz w:val="20"/>
        </w:rPr>
      </w:pPr>
      <w:r>
        <w:rPr>
          <w:rFonts w:ascii="Times New Roman" w:hAnsi="Times New Roman"/>
          <w:b/>
          <w:color w:val="000000"/>
          <w:sz w:val="20"/>
        </w:rPr>
        <w:t xml:space="preserve">Funding cost </w:t>
      </w:r>
      <w:r>
        <w:rPr>
          <w:rFonts w:ascii="Times New Roman" w:hAnsi="Times New Roman"/>
          <w:color w:val="000000"/>
          <w:sz w:val="20"/>
        </w:rPr>
        <w:t>was RMB24.5 million in the second quarter of 2026, as compared to RMB59.9 million in the second quarter of 2025. The decrease was primarily driven by the decrease in funding rates and balance of funding debts to fund the on-balance sheet loans.</w:t>
      </w:r>
    </w:p>
    <w:p>
      <w:pPr>
        <w:pStyle w:val="TextBody"/>
        <w:bidi w:val="0"/>
        <w:spacing w:before="120" w:after="283"/>
        <w:jc w:val="left"/>
        <w:rPr>
          <w:rFonts w:ascii="Times New Roman" w:hAnsi="Times New Roman"/>
          <w:sz w:val="20"/>
        </w:rPr>
      </w:pPr>
      <w:r>
        <w:rPr>
          <w:rFonts w:ascii="Times New Roman" w:hAnsi="Times New Roman"/>
          <w:b/>
          <w:color w:val="000000"/>
          <w:sz w:val="20"/>
        </w:rPr>
        <w:t>Processing and servicing costs</w:t>
      </w:r>
      <w:r>
        <w:rPr>
          <w:rFonts w:ascii="Times New Roman" w:hAnsi="Times New Roman"/>
          <w:color w:val="000000"/>
          <w:sz w:val="20"/>
        </w:rPr>
        <w:t xml:space="preserve"> was RMB546 million in the second quarter of 2026, as compared to RMB606 million in the second quarter of 2025.</w:t>
      </w:r>
    </w:p>
    <w:p>
      <w:pPr>
        <w:pStyle w:val="TextBody"/>
        <w:bidi w:val="0"/>
        <w:spacing w:before="240" w:after="283"/>
        <w:jc w:val="left"/>
        <w:rPr>
          <w:rFonts w:ascii="Times New Roman" w:hAnsi="Times New Roman"/>
          <w:sz w:val="20"/>
        </w:rPr>
      </w:pPr>
      <w:r>
        <w:rPr>
          <w:rFonts w:ascii="Times New Roman" w:hAnsi="Times New Roman"/>
          <w:b/>
          <w:color w:val="000000"/>
          <w:sz w:val="20"/>
        </w:rPr>
        <w:t>Provision for financing receivables</w:t>
      </w:r>
      <w:r>
        <w:rPr>
          <w:rFonts w:ascii="Times New Roman" w:hAnsi="Times New Roman"/>
          <w:color w:val="000000"/>
          <w:sz w:val="20"/>
        </w:rPr>
        <w:t xml:space="preserve"> was RMB410 million in the second quarter of 2026, as compared to RMB257 million in the second quarter of 2025. The increase was primarily due to the decrease in performance of the on-balance sheet loans.</w:t>
      </w:r>
    </w:p>
    <w:p>
      <w:pPr>
        <w:pStyle w:val="TextBody"/>
        <w:bidi w:val="0"/>
        <w:spacing w:before="240" w:after="283"/>
        <w:jc w:val="center"/>
        <w:rPr>
          <w:rFonts w:ascii="Times New Roman" w:hAnsi="Times New Roman"/>
          <w:sz w:val="18"/>
        </w:rPr>
      </w:pPr>
      <w:r>
        <w:rPr>
          <w:rFonts w:ascii="Times New Roman" w:hAnsi="Times New Roman"/>
          <w:color w:val="000000"/>
          <w:sz w:val="18"/>
        </w:rPr>
        <w:t xml:space="preserve">Page </w:t>
      </w:r>
      <w:r>
        <w:rPr>
          <w:rFonts w:ascii="Times New Roman" w:hAnsi="Times New Roman"/>
          <w:b/>
          <w:color w:val="000000"/>
          <w:sz w:val="18"/>
        </w:rPr>
        <w:t>3</w:t>
      </w:r>
      <w:r>
        <w:rPr>
          <w:rFonts w:ascii="Times New Roman" w:hAnsi="Times New Roman"/>
          <w:color w:val="000000"/>
          <w:sz w:val="18"/>
        </w:rPr>
        <w:t xml:space="preserve"> 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Provision for contract assets and receivables</w:t>
      </w:r>
      <w:r>
        <w:rPr>
          <w:rFonts w:ascii="Times New Roman" w:hAnsi="Times New Roman"/>
          <w:color w:val="000000"/>
          <w:sz w:val="20"/>
        </w:rPr>
        <w:t xml:space="preserve"> was RMB174 million in the second quarter of 2026, as compared to RMB164 million in the second quarter of 2025. </w:t>
      </w:r>
    </w:p>
    <w:p>
      <w:pPr>
        <w:pStyle w:val="TextBody"/>
        <w:bidi w:val="0"/>
        <w:spacing w:before="240" w:after="283"/>
        <w:jc w:val="left"/>
        <w:rPr>
          <w:rFonts w:ascii="Times New Roman" w:hAnsi="Times New Roman"/>
          <w:sz w:val="20"/>
        </w:rPr>
      </w:pPr>
      <w:r>
        <w:rPr>
          <w:rFonts w:ascii="Times New Roman" w:hAnsi="Times New Roman"/>
          <w:b/>
          <w:color w:val="000000"/>
          <w:sz w:val="20"/>
        </w:rPr>
        <w:t>Provision for contingent guarantee liabilities</w:t>
      </w:r>
      <w:r>
        <w:rPr>
          <w:rFonts w:ascii="Times New Roman" w:hAnsi="Times New Roman"/>
          <w:color w:val="000000"/>
          <w:sz w:val="20"/>
        </w:rPr>
        <w:t xml:space="preserve"> was RMB1,052 million in the second quarter of 2026, as compared to RMB802 million in the second quarter of 2025. The increase was primarily due to the increase of outstanding balances in the off-balance sheet loans funded by certain institutional funding partners, which are accounted for under ASC 460, Guarantees.</w:t>
      </w:r>
    </w:p>
    <w:p>
      <w:pPr>
        <w:pStyle w:val="TextBody"/>
        <w:bidi w:val="0"/>
        <w:spacing w:before="240" w:after="283"/>
        <w:jc w:val="left"/>
        <w:rPr>
          <w:rFonts w:ascii="Times New Roman" w:hAnsi="Times New Roman"/>
          <w:sz w:val="20"/>
        </w:rPr>
      </w:pPr>
      <w:r>
        <w:rPr>
          <w:rFonts w:ascii="Times New Roman" w:hAnsi="Times New Roman"/>
          <w:b/>
          <w:color w:val="000000"/>
          <w:sz w:val="20"/>
        </w:rPr>
        <w:t>Gross profit</w:t>
      </w:r>
      <w:r>
        <w:rPr>
          <w:rFonts w:ascii="Times New Roman" w:hAnsi="Times New Roman"/>
          <w:color w:val="000000"/>
          <w:sz w:val="20"/>
        </w:rPr>
        <w:t xml:space="preserve"> was RMB496 million in the second quarter of 2026, as compared to RMB1,273 million in the second quarter of 2025. </w:t>
      </w:r>
    </w:p>
    <w:p>
      <w:pPr>
        <w:pStyle w:val="TextBody"/>
        <w:bidi w:val="0"/>
        <w:spacing w:before="240" w:after="283"/>
        <w:jc w:val="left"/>
        <w:rPr>
          <w:rFonts w:ascii="Times New Roman" w:hAnsi="Times New Roman"/>
          <w:sz w:val="20"/>
        </w:rPr>
      </w:pPr>
      <w:r>
        <w:rPr>
          <w:rFonts w:ascii="Times New Roman" w:hAnsi="Times New Roman"/>
          <w:b/>
          <w:color w:val="000000"/>
          <w:sz w:val="20"/>
        </w:rPr>
        <w:t>Sales and marketing expenses</w:t>
      </w:r>
      <w:r>
        <w:rPr>
          <w:rFonts w:ascii="Times New Roman" w:hAnsi="Times New Roman"/>
          <w:color w:val="000000"/>
          <w:sz w:val="20"/>
        </w:rPr>
        <w:t xml:space="preserve"> was RMB347 million in the second quarter of 2026, as compared to RMB567 million in the second quarter of 2025. The decrease was primarily driven by the decrease in advertising fees.</w:t>
      </w:r>
    </w:p>
    <w:p>
      <w:pPr>
        <w:pStyle w:val="TextBody"/>
        <w:bidi w:val="0"/>
        <w:spacing w:before="240" w:after="283"/>
        <w:jc w:val="left"/>
        <w:rPr>
          <w:rFonts w:ascii="Times New Roman" w:hAnsi="Times New Roman"/>
          <w:sz w:val="20"/>
        </w:rPr>
      </w:pPr>
      <w:r>
        <w:rPr>
          <w:rFonts w:ascii="Times New Roman" w:hAnsi="Times New Roman"/>
          <w:b/>
          <w:color w:val="000000"/>
          <w:sz w:val="20"/>
        </w:rPr>
        <w:t>Research and development expenses</w:t>
      </w:r>
      <w:r>
        <w:rPr>
          <w:rFonts w:ascii="Times New Roman" w:hAnsi="Times New Roman"/>
          <w:color w:val="000000"/>
          <w:sz w:val="20"/>
        </w:rPr>
        <w:t xml:space="preserve"> was RMB147 million in the second quarter of 2026, as compared to RMB158 million in the second quarter of 2025. </w:t>
      </w:r>
    </w:p>
    <w:p>
      <w:pPr>
        <w:pStyle w:val="TextBody"/>
        <w:bidi w:val="0"/>
        <w:spacing w:before="240" w:after="283"/>
        <w:jc w:val="left"/>
        <w:rPr>
          <w:rFonts w:ascii="Times New Roman" w:hAnsi="Times New Roman"/>
          <w:sz w:val="20"/>
        </w:rPr>
      </w:pPr>
      <w:r>
        <w:rPr>
          <w:rFonts w:ascii="Times New Roman" w:hAnsi="Times New Roman"/>
          <w:b/>
          <w:color w:val="000000"/>
          <w:sz w:val="20"/>
        </w:rPr>
        <w:t>General and administrative expenses</w:t>
      </w:r>
      <w:r>
        <w:rPr>
          <w:rFonts w:ascii="Times New Roman" w:hAnsi="Times New Roman"/>
          <w:color w:val="000000"/>
          <w:sz w:val="20"/>
        </w:rPr>
        <w:t xml:space="preserve"> was RMB107 million in the second quarter of 2026, as compared to RMB96.0 million in the second quarter of 2025.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Change in fair value of financial guarantee derivatives and loans at fair value </w:t>
      </w:r>
      <w:r>
        <w:rPr>
          <w:rFonts w:ascii="Times New Roman" w:hAnsi="Times New Roman"/>
          <w:color w:val="000000"/>
          <w:sz w:val="20"/>
        </w:rPr>
        <w:t>was a gain of RMB238 million in the second quarter of 2026, as compared to a gain of RMB184 million in the second quarter of 2025. The change was primarily driven by the fair value gains realized as a result of the release of guarantee obligation as loans are repaid, partially offset by the fair value loss from the re-measurement of the expected loss rates.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Income tax expense </w:t>
      </w:r>
      <w:r>
        <w:rPr>
          <w:rFonts w:ascii="Times New Roman" w:hAnsi="Times New Roman"/>
          <w:color w:val="000000"/>
          <w:sz w:val="20"/>
        </w:rPr>
        <w:t>was RMB53.5 million in the second quarter of 2026, as compared to RMB120 million in the second quarter of 2025. The decrease was primarily due to the decrease in income before income tax expense.</w:t>
      </w:r>
    </w:p>
    <w:p>
      <w:pPr>
        <w:pStyle w:val="TextBody"/>
        <w:bidi w:val="0"/>
        <w:spacing w:before="240" w:after="283"/>
        <w:jc w:val="left"/>
        <w:rPr>
          <w:rFonts w:ascii="Times New Roman" w:hAnsi="Times New Roman"/>
          <w:sz w:val="20"/>
        </w:rPr>
      </w:pPr>
      <w:r>
        <w:rPr>
          <w:rFonts w:ascii="Times New Roman" w:hAnsi="Times New Roman"/>
          <w:b/>
          <w:color w:val="000000"/>
          <w:sz w:val="20"/>
        </w:rPr>
        <w:t>Net income</w:t>
      </w:r>
      <w:r>
        <w:rPr>
          <w:rFonts w:ascii="Times New Roman" w:hAnsi="Times New Roman"/>
          <w:color w:val="000000"/>
          <w:sz w:val="20"/>
        </w:rPr>
        <w:t xml:space="preserve"> was RMB101 million in the second quarter of 2026, as compared to RMB511 million in the second quarter of 2025.</w:t>
      </w:r>
    </w:p>
    <w:p>
      <w:pPr>
        <w:pStyle w:val="TextBody"/>
        <w:bidi w:val="0"/>
        <w:spacing w:before="36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sz w:val="18"/>
        </w:rPr>
      </w:pPr>
      <w:r>
        <w:rPr>
          <w:rFonts w:ascii="Times New Roman" w:hAnsi="Times New Roman"/>
          <w:color w:val="000000"/>
          <w:sz w:val="18"/>
        </w:rPr>
        <w:t xml:space="preserve">Page </w:t>
      </w:r>
      <w:r>
        <w:rPr>
          <w:rFonts w:ascii="Times New Roman" w:hAnsi="Times New Roman"/>
          <w:b/>
          <w:color w:val="000000"/>
          <w:sz w:val="18"/>
        </w:rPr>
        <w:t>4</w:t>
      </w:r>
      <w:r>
        <w:rPr>
          <w:rFonts w:ascii="Times New Roman" w:hAnsi="Times New Roman"/>
          <w:color w:val="000000"/>
          <w:sz w:val="18"/>
        </w:rPr>
        <w:t xml:space="preserve"> 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Recent Development</w:t>
      </w:r>
    </w:p>
    <w:p>
      <w:pPr>
        <w:pStyle w:val="TextBody"/>
        <w:bidi w:val="0"/>
        <w:spacing w:before="0" w:after="120"/>
        <w:jc w:val="left"/>
        <w:rPr/>
      </w:pPr>
      <w:r>
        <w:rPr/>
        <w:t> </w:t>
      </w:r>
    </w:p>
    <w:p>
      <w:pPr>
        <w:pStyle w:val="TextBody"/>
        <w:bidi w:val="0"/>
        <w:jc w:val="left"/>
        <w:rPr>
          <w:rFonts w:ascii="Times New Roman" w:hAnsi="Times New Roman"/>
          <w:sz w:val="20"/>
        </w:rPr>
      </w:pPr>
      <w:r>
        <w:rPr>
          <w:rFonts w:ascii="Times New Roman" w:hAnsi="Times New Roman"/>
          <w:b/>
          <w:color w:val="000000"/>
          <w:sz w:val="20"/>
        </w:rPr>
        <w:t>Update of Share Repurchase Program</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Pursuant to the Company’s share repurchase program of up to US$50 million adopted in July 2025, the Company repurchased a total of approximately 9.6 million ADSs (equivalent to 19.2 million Class A ordinary shares) for approximately US$39 million. The total number of shares repurchased by the Company since the adoption of the share repurchase program amounted to approximately 5.8% of its total ordinary shares outstanding as of June 30, 2026.</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Updated Dividend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31, 2026, the Board approved an updated dividend policy, under which the Company will distribute 30% of total net income as cash dividends on an annual basis, effective from fiscal year 2026. This represents a change from the previous semi-annual distribution. Any potential dividend for fiscal year 2026 will be determined in conjunction with the announcement of the Company's full-year results in early 2027.</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Business Outlook</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Looking ahead, given the ongoing industry and regulatory uncertainties, we anticipate total loan origination for the third quarter of 2026 to decrease significantly on a quarter-over-quarter basis and we may incur a net loss for the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forecast reflects our current preliminary views, which are subject to the impact of macroeconomic factors. The Company may adjust its performance outlook as appropriate based on evolving circumstances.</w:t>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Conference Call</w:t>
      </w:r>
    </w:p>
    <w:p>
      <w:pPr>
        <w:pStyle w:val="TextBody"/>
        <w:bidi w:val="0"/>
        <w:jc w:val="left"/>
        <w:rPr>
          <w:rFonts w:ascii="Times New Roman" w:hAnsi="Times New Roman"/>
          <w:color w:val="000000"/>
          <w:sz w:val="20"/>
        </w:rPr>
      </w:pPr>
      <w:r>
        <w:rPr>
          <w:rFonts w:ascii="Times New Roman" w:hAnsi="Times New Roman"/>
          <w:color w:val="000000"/>
          <w:sz w:val="20"/>
        </w:rPr>
        <w:t>The Company’s management will host an earnings conference call at 7:00 AM U.S. Eastern time on August 31, 2026 (7:00 PM Beijing/Hong Kong time on August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Participants who wish to join the conference call should register online at:</w:t>
      </w:r>
    </w:p>
    <w:p>
      <w:pPr>
        <w:pStyle w:val="TextBody"/>
        <w:bidi w:val="0"/>
        <w:spacing w:before="120" w:after="283"/>
        <w:jc w:val="left"/>
        <w:rPr>
          <w:rFonts w:ascii="Times New Roman" w:hAnsi="Times New Roman"/>
          <w:color w:val="0000FF"/>
          <w:sz w:val="20"/>
          <w:u w:val="single"/>
        </w:rPr>
      </w:pPr>
      <w:r>
        <w:rPr>
          <w:rFonts w:ascii="Times New Roman" w:hAnsi="Times New Roman"/>
          <w:color w:val="0000FF"/>
          <w:sz w:val="20"/>
          <w:u w:val="single"/>
        </w:rPr>
        <w:t>https://register-conf.media-server.com/register/BI1de4908791bd49b8b7d1448ef38c027a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registration is completed, each participant will receive the dial-in number and a unique access PIN for the conference call.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Participants joining the conference call should dial in at least 10 minutes before the scheduled start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live and archived webcast of the conference call will also be available at the Company's investor relations website at http://ir.lexin.com.</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About LexinFintech Holdings Ltd.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a leading credit technology-empowered personal financial service enabler. Our mission is to use technology and risk management expertise to make financing more accessible for young generation consumers. We strive to achieve this mission by connecting consumers with financial institutions, where we facilitate through a unique model that includes online and offline channels, installment consumption platform, big data and AI driven credit risk management capabilities, as well as smart user and loan management systems. We also empower financial institutions by providing cutting-edge proprietary technology solutions to meet their needs of financial digital transformation.</w:t>
      </w:r>
    </w:p>
    <w:p>
      <w:pPr>
        <w:pStyle w:val="TextBody"/>
        <w:bidi w:val="0"/>
        <w:spacing w:before="40" w:after="120"/>
        <w:jc w:val="left"/>
        <w:rPr>
          <w:rFonts w:ascii="Times New Roman" w:hAnsi="Times New Roman"/>
          <w:sz w:val="20"/>
        </w:rPr>
      </w:pPr>
      <w:r>
        <w:rPr>
          <w:rFonts w:ascii="Times New Roman" w:hAnsi="Times New Roman"/>
          <w:color w:val="000000"/>
          <w:sz w:val="20"/>
        </w:rPr>
        <w:t xml:space="preserve">For more information, please visit </w:t>
      </w:r>
      <w:r>
        <w:rPr>
          <w:rFonts w:ascii="Times New Roman" w:hAnsi="Times New Roman"/>
          <w:sz w:val="20"/>
        </w:rPr>
        <w:t>http://ir.lexin.com</w:t>
      </w:r>
      <w:r>
        <w:rPr>
          <w:rFonts w:ascii="Times New Roman" w:hAnsi="Times New Roman"/>
          <w:color w:val="000000"/>
          <w:sz w:val="20"/>
        </w:rPr>
        <w:t>.</w:t>
      </w:r>
    </w:p>
    <w:p>
      <w:pPr>
        <w:pStyle w:val="TextBody"/>
        <w:bidi w:val="0"/>
        <w:spacing w:before="40" w:after="120"/>
        <w:jc w:val="left"/>
        <w:rPr>
          <w:rFonts w:ascii="Times New Roman" w:hAnsi="Times New Roman"/>
          <w:sz w:val="20"/>
        </w:rPr>
      </w:pPr>
      <w:r>
        <w:rPr>
          <w:rFonts w:ascii="Times New Roman" w:hAnsi="Times New Roman"/>
          <w:color w:val="000000"/>
          <w:sz w:val="20"/>
        </w:rPr>
        <w:t xml:space="preserve">To follow us on Twitter, please go to: </w:t>
      </w:r>
      <w:r>
        <w:rPr>
          <w:rFonts w:ascii="Times New Roman" w:hAnsi="Times New Roman"/>
          <w:sz w:val="20"/>
        </w:rPr>
        <w:t>https://twitter.com/LexinFintech</w:t>
      </w:r>
      <w:r>
        <w:rPr>
          <w:rFonts w:ascii="Times New Roman" w:hAnsi="Times New Roman"/>
          <w:color w:val="000000"/>
          <w:sz w:val="20"/>
        </w:rPr>
        <w:t>.</w:t>
      </w:r>
    </w:p>
    <w:p>
      <w:pPr>
        <w:pStyle w:val="TextBody"/>
        <w:bidi w:val="0"/>
        <w:spacing w:before="240" w:after="283"/>
        <w:jc w:val="center"/>
        <w:rPr>
          <w:rFonts w:ascii="Times New Roman" w:hAnsi="Times New Roman"/>
          <w:sz w:val="18"/>
        </w:rPr>
      </w:pPr>
      <w:r>
        <w:rPr>
          <w:rFonts w:ascii="Times New Roman" w:hAnsi="Times New Roman"/>
          <w:color w:val="000000"/>
          <w:sz w:val="18"/>
        </w:rPr>
        <w:t xml:space="preserve">Page </w:t>
      </w:r>
      <w:r>
        <w:rPr>
          <w:rFonts w:ascii="Times New Roman" w:hAnsi="Times New Roman"/>
          <w:b/>
          <w:color w:val="000000"/>
          <w:sz w:val="18"/>
        </w:rPr>
        <w:t>5</w:t>
      </w:r>
      <w:r>
        <w:rPr>
          <w:rFonts w:ascii="Times New Roman" w:hAnsi="Times New Roman"/>
          <w:color w:val="000000"/>
          <w:sz w:val="18"/>
        </w:rPr>
        <w:t xml:space="preserve"> 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Use of Non-GAAP Financial Measures Statement</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In evaluating our business, we consider and use adjusted net income attributable to ordinary shareholders of the Company, non-GAAP EBIT, adjusted net income per ordinary share and per ADS attributable to ordinary shareholders of the Company, four non-GAAP measures, as supplemental measures to review and assess our operating performance. The presentation of the non-GAAP financial measures is not intended to be considered in isolation or as a substitute for the financial information prepared and presented in accordance with U.S. GAAP. We define adjusted net income attributable to ordinary shareholders of the Company as net income attributable to ordinary shareholders of the Company excluding share-based compensation expenses, interest expense associated with convertible notes, and investment income/(loss) and we define non-GAAP EBIT as net income excluding income tax expense, share-based compensation expenses, interest expense, net, and investment income/(loss).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present these non-GAAP financial measures because they are used by our management to evaluate our operating performance and formulate business plans. Adjusted net income attributable to ordinary shareholders of the Company enables our management to assess our operating results without considering the impact of share-based compensation expenses, interest expense associated with convertible notes, and investment income/(loss). Non-GAAP EBIT, on the other hand, enables our management to assess our operating results without considering the impact of income tax expense, share-based compensation expenses, interest expense, net, and investment income/(loss). We also believe that the use of these non-GAAP financial measures facilitates investors’ assessment of our operating performance. These non-GAAP financial measures are not defined under U.S. GAAP and are not presented in accordance with U.S. GAAP.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non-GAAP financial measures have limitations as an analytical tool. One of the key limitations of using adjusted net income attributable to ordinary shareholders of the Company and non-GAAP EBIT is that they do not reflect all items of income and expense that affect our operations. Share-based compensation expenses, interest expense associated with convertible notes, income tax expense, interest expense, net, and investment income/(loss) have been and may continue to be incurred in our business and are not reflected in the presentation of adjusted net income attributable to ordinary shareholders of the Company and non-GAAP EBIT. Further, these non-GAAP financial measures may differ from the non-GAAP financial information used by other companies, including peer companies, and therefore their comparability may be limited.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compensate for these limitations by reconciling each of the non-GAAP financial measures to the most directly comparable U.S. GAAP financial measure, which should be considered when evaluating our performance. We encourage you to review our financial information in its entirety and not rely on a single financial measure.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Exchange Rate Information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announcement contains translations of certain RMB amounts into U.S. dollars (“US$”) at specified rates solely for the convenience of the reader. Unless otherwise stated, all translations from RMB to US$ were made at the rate of RMB6.7851 to US$1.00, the exchange rate set forth in the H.10 statistical release of the Federal Reserve Board on June 30, 2026. The Company makes no representation that the RMB or US$ amounts referred could be converted into US$ or RMB, as the case may be, at any particular rate or at all.</w:t>
      </w:r>
    </w:p>
    <w:p>
      <w:pPr>
        <w:pStyle w:val="TextBody"/>
        <w:bidi w:val="0"/>
        <w:spacing w:before="240" w:after="283"/>
        <w:jc w:val="center"/>
        <w:rPr>
          <w:rFonts w:ascii="Times New Roman" w:hAnsi="Times New Roman"/>
          <w:sz w:val="18"/>
        </w:rPr>
      </w:pPr>
      <w:r>
        <w:rPr>
          <w:rFonts w:ascii="Times New Roman" w:hAnsi="Times New Roman"/>
          <w:color w:val="000000"/>
          <w:sz w:val="18"/>
        </w:rPr>
        <w:t xml:space="preserve">Page </w:t>
      </w:r>
      <w:r>
        <w:rPr>
          <w:rFonts w:ascii="Times New Roman" w:hAnsi="Times New Roman"/>
          <w:b/>
          <w:color w:val="000000"/>
          <w:sz w:val="18"/>
        </w:rPr>
        <w:t>6</w:t>
      </w:r>
      <w:r>
        <w:rPr>
          <w:rFonts w:ascii="Times New Roman" w:hAnsi="Times New Roman"/>
          <w:color w:val="000000"/>
          <w:sz w:val="18"/>
        </w:rPr>
        <w:t xml:space="preserve"> 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Safe Harbor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announcement contains forward-looking statements. These statements are made under the “safe harbor” provisions of the U.S. Private Securities Litigation Reform Act of 1995. Statements that are not historical facts, including statements about Lexin’s beliefs and expectations, are forward-looking statements. These forward-looking statements can be identified by terminology such as “will,” “expects,” “anticipates,” “future,” “intends,” “plans,” “believes,” “estimates,” “confident” and similar statements. Among other things, the expectation of the collection efficiency and delinquency, business outlook and quotations from management in this announcement, contain forward-looking statements. Lexin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Forward-looking statements involve inherent risks and uncertainties. A number of factors could cause actual results to differ materially from those contained in any forward-looking statement, including but not limited to the following: Lexin’s goal and strategies; Lexin’s expansion plans; Lexin’s future business development, financial condition and results of operations; Lexin’s expectation regarding demand for, and market acceptance of, its credit and investment management products; Lexin’s expectations regarding keeping and strengthening its relationship with borrowers, institutional funding partners, merchandise suppliers and other parties it collaborates with; general economic and business conditions; and assumptions underlying or related to any of the foregoing. Further information regarding these and other risks is included in Lexin’s filings with the SEC. All information provided in this press release and in the attachments is as of the date of this press release, and Lexin does not undertake any obligation to update any forward-looking statement, except as required under applicable law.</w:t>
      </w:r>
    </w:p>
    <w:p>
      <w:pPr>
        <w:pStyle w:val="TextBody"/>
        <w:bidi w:val="0"/>
        <w:spacing w:before="360" w:after="283"/>
        <w:jc w:val="left"/>
        <w:rPr>
          <w:rFonts w:ascii="Times New Roman" w:hAnsi="Times New Roman"/>
          <w:sz w:val="20"/>
        </w:rPr>
      </w:pPr>
      <w:r>
        <w:rPr>
          <w:rFonts w:ascii="Times New Roman" w:hAnsi="Times New Roman"/>
          <w:b/>
          <w:color w:val="000000"/>
          <w:sz w:val="20"/>
        </w:rPr>
        <w:t>For investor and media inquiries, please contact: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LexinFintech Holdings Ltd.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IR inquiries: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Will Tan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Tel: +86 (755) 3637-8888 ext. 6258</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E-mail: willtan@lexin.com</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Media inquiries: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Ruifeng Xu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Tel: +86 (755) 3637-8888 ext. 6993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E-mail: media@lexin.com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SOURCE LexinFintech Holdings Ltd.</w:t>
      </w:r>
    </w:p>
    <w:p>
      <w:pPr>
        <w:pStyle w:val="TextBody"/>
        <w:bidi w:val="0"/>
        <w:spacing w:before="240" w:after="283"/>
        <w:jc w:val="center"/>
        <w:rPr>
          <w:rFonts w:ascii="Times New Roman" w:hAnsi="Times New Roman"/>
          <w:sz w:val="18"/>
        </w:rPr>
      </w:pPr>
      <w:r>
        <w:rPr>
          <w:rFonts w:ascii="Times New Roman" w:hAnsi="Times New Roman"/>
          <w:color w:val="000000"/>
          <w:sz w:val="18"/>
        </w:rPr>
        <w:t xml:space="preserve">Page </w:t>
      </w:r>
      <w:r>
        <w:rPr>
          <w:rFonts w:ascii="Times New Roman" w:hAnsi="Times New Roman"/>
          <w:b/>
          <w:color w:val="000000"/>
          <w:sz w:val="18"/>
        </w:rPr>
        <w:t>7</w:t>
      </w:r>
      <w:r>
        <w:rPr>
          <w:rFonts w:ascii="Times New Roman" w:hAnsi="Times New Roman"/>
          <w:color w:val="000000"/>
          <w:sz w:val="18"/>
        </w:rPr>
        <w:t xml:space="preserve"> 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LexinFintech Holdings Ltd.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Balance Sheets</w:t>
      </w:r>
    </w:p>
    <w:tbl>
      <w:tblPr>
        <w:tblW w:w="8068" w:type="dxa"/>
        <w:jc w:val="left"/>
        <w:tblInd w:w="0" w:type="dxa"/>
        <w:tblLayout w:type="fixed"/>
        <w:tblCellMar>
          <w:top w:w="28" w:type="dxa"/>
          <w:left w:w="28" w:type="dxa"/>
          <w:bottom w:w="28" w:type="dxa"/>
          <w:right w:w="28" w:type="dxa"/>
        </w:tblCellMar>
      </w:tblPr>
      <w:tblGrid>
        <w:gridCol w:w="4306"/>
        <w:gridCol w:w="194"/>
        <w:gridCol w:w="1021"/>
        <w:gridCol w:w="151"/>
        <w:gridCol w:w="146"/>
        <w:gridCol w:w="766"/>
        <w:gridCol w:w="151"/>
        <w:gridCol w:w="146"/>
        <w:gridCol w:w="691"/>
        <w:gridCol w:w="496"/>
      </w:tblGrid>
      <w:tr>
        <w:trPr/>
        <w:tc>
          <w:tcPr>
            <w:tcW w:w="430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(In thousands)</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30, 2026</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US$</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ASSETS</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Current Assets</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Cash and cash equivalents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2,156,133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1,232,362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181,628</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Restricted cash</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1,717,773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1,164,978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171,697</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Restricted term deposit and short-term investments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78,458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51,671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7,615</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300"/>
              <w:jc w:val="left"/>
              <w:rPr>
                <w:rFonts w:ascii="Times New Roman" w:hAnsi="Times New Roman"/>
                <w:sz w:val="14"/>
              </w:rPr>
            </w:pPr>
            <w:r>
              <w:rPr>
                <w:rFonts w:ascii="Times New Roman" w:hAnsi="Times New Roman"/>
                <w:color w:val="000000"/>
                <w:sz w:val="14"/>
              </w:rPr>
              <w:t>Short-term financing receivables, net</w:t>
            </w:r>
            <w:r>
              <w:rPr>
                <w:rFonts w:ascii="Times New Roman" w:hAnsi="Times New Roman"/>
                <w:color w:val="000000"/>
                <w:sz w:val="9"/>
              </w:rPr>
              <w:t>(1)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5,450,418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4,749,246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699,952</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300"/>
              <w:jc w:val="left"/>
              <w:rPr>
                <w:rFonts w:ascii="Times New Roman" w:hAnsi="Times New Roman"/>
                <w:sz w:val="14"/>
              </w:rPr>
            </w:pPr>
            <w:r>
              <w:rPr>
                <w:rFonts w:ascii="Times New Roman" w:hAnsi="Times New Roman"/>
                <w:color w:val="000000"/>
                <w:sz w:val="14"/>
              </w:rPr>
              <w:t>Short-term contract assets and receivables, net</w:t>
            </w:r>
            <w:r>
              <w:rPr>
                <w:rFonts w:ascii="Times New Roman" w:hAnsi="Times New Roman"/>
                <w:color w:val="000000"/>
                <w:sz w:val="9"/>
              </w:rPr>
              <w:t>(1)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3,763,096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3,699,274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545,206</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Deposits to insurance companies and guarantee companies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2,187,609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2,234,221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329,283</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Prepayments and other current assets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2,858,054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4,323,650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637,227</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Amounts due from related parties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84,531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132,320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19,502</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Inventories, net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24,119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26,321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3,879</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Total Current Assets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18,320,191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17,614,043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2,595,989</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Non-current Assets</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Restricted cash</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91,937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82,831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12,208</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300"/>
              <w:jc w:val="left"/>
              <w:rPr>
                <w:rFonts w:ascii="Times New Roman" w:hAnsi="Times New Roman"/>
                <w:sz w:val="14"/>
              </w:rPr>
            </w:pPr>
            <w:r>
              <w:rPr>
                <w:rFonts w:ascii="Times New Roman" w:hAnsi="Times New Roman"/>
                <w:color w:val="000000"/>
                <w:sz w:val="14"/>
              </w:rPr>
              <w:t>Long-term financing receivables, net</w:t>
            </w:r>
            <w:r>
              <w:rPr>
                <w:rFonts w:ascii="Times New Roman" w:hAnsi="Times New Roman"/>
                <w:color w:val="000000"/>
                <w:sz w:val="9"/>
              </w:rPr>
              <w:t>(1)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167,378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108,331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15,966</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300"/>
              <w:jc w:val="left"/>
              <w:rPr>
                <w:rFonts w:ascii="Times New Roman" w:hAnsi="Times New Roman"/>
                <w:sz w:val="14"/>
              </w:rPr>
            </w:pPr>
            <w:r>
              <w:rPr>
                <w:rFonts w:ascii="Times New Roman" w:hAnsi="Times New Roman"/>
                <w:color w:val="000000"/>
                <w:sz w:val="14"/>
              </w:rPr>
              <w:t>Long-term contract assets and receivables, net</w:t>
            </w:r>
            <w:r>
              <w:rPr>
                <w:rFonts w:ascii="Times New Roman" w:hAnsi="Times New Roman"/>
                <w:color w:val="000000"/>
                <w:sz w:val="9"/>
              </w:rPr>
              <w:t>(1)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317,496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215,181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31,714</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Property, equipment and software, net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895,046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1,018,803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150,153</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Land use rights, net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828,467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811,267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119,566</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Long</w:t>
              <w:noBreakHyphen/>
              <w:t>term investments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243,971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243,960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35,955</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Deferred tax assets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1,763,235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1,857,317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273,735</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Other assets</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535,242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430,349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63,426</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Total Non-current Assets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4,842,772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4,768,039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702,723</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TOTAL ASSETS</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23,162,963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22,382,082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3,298,712</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LIABILITIES</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Current liabilities</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Accounts payable</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101,178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148,155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21,835</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Amounts due to related parties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1,352</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Short-term borrowings and current portion of long-term borrowings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905,791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839,501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123,727</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Short</w:t>
              <w:noBreakHyphen/>
              <w:t>term funding debts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2,440,685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998,347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147,138</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Deferred guarantee income</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1,305,911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1,558,203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229,651</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Contingent guarantee liabilities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544,191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571,066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84,165</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Accruals and other current liabilities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4,371,484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4,314,904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635,938</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Total Current Liabilities</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9,677,948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8,439,348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1,243,806</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Non-current Liabilities</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Long-term borrowings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566,015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639,695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94,279</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Long</w:t>
              <w:noBreakHyphen/>
              <w:t>term funding debts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850,590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1,209,872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178,313</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Deferred tax liabilities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105,212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81,401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11,997</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Other long-term liabilities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10,550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1,555</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Total Non-current Liabilities</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1,532,384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1,941,518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286,144</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TOTAL LIABILITIES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11,210,332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10,380,866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1,529,950</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Shareholders’ equity:</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Class A Ordinary Shares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Class B Ordinary Shares</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Treasury stock</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(493,846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(269,850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(39,771</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Additional paid-in capital</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3,396,667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3,142,342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463,124</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Statutory reserves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1,260,923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1,260,923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185,837</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Accumulated other comprehensive income</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(4,030</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4"/>
              </w:rPr>
            </w:pPr>
            <w:r>
              <w:rPr>
                <w:rFonts w:ascii="Times New Roman" w:hAnsi="Times New Roman"/>
                <w:color w:val="000000"/>
                <w:sz w:val="14"/>
              </w:rPr>
              <w:t>Retained earnings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7,816,234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7,894,918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1,163,567</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Total shareholders’ equity</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11,952,631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12,001,216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1,768,762</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TOTAL LIABILITIES AND SHAREHOLDERS’ EQUITY</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23,162,963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22,382,082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3,298,712</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__________________________</w:t>
      </w:r>
    </w:p>
    <w:p>
      <w:pPr>
        <w:pStyle w:val="TextBody"/>
        <w:bidi w:val="0"/>
        <w:spacing w:before="0" w:after="120"/>
        <w:jc w:val="left"/>
        <w:rPr>
          <w:rFonts w:ascii="Times New Roman" w:hAnsi="Times New Roman"/>
          <w:color w:val="000000"/>
          <w:sz w:val="14"/>
        </w:rPr>
      </w:pPr>
      <w:r>
        <w:rPr>
          <w:rFonts w:ascii="Times New Roman" w:hAnsi="Times New Roman"/>
          <w:color w:val="000000"/>
          <w:sz w:val="14"/>
        </w:rPr>
        <w:t xml:space="preserve">(1) Short-term financing receivables, net of allowance for credit losses of RMB198,694 and RMB264,769 as of December 31, 2025 and June 30, 2026, respectively. </w:t>
      </w:r>
    </w:p>
    <w:p>
      <w:pPr>
        <w:pStyle w:val="TextBody"/>
        <w:bidi w:val="0"/>
        <w:spacing w:before="0" w:after="120"/>
        <w:jc w:val="left"/>
        <w:rPr>
          <w:rFonts w:ascii="Times New Roman" w:hAnsi="Times New Roman"/>
          <w:color w:val="000000"/>
          <w:sz w:val="14"/>
        </w:rPr>
      </w:pPr>
      <w:r>
        <w:rPr>
          <w:rFonts w:ascii="Times New Roman" w:hAnsi="Times New Roman"/>
          <w:color w:val="000000"/>
          <w:sz w:val="14"/>
        </w:rPr>
        <w:t>Short-term contract assets and receivables, net of allowance for credit losses of RMB259,054 and RMB294,664 as of December 31, 2025 and June 30, 2026, respectively.</w:t>
      </w:r>
    </w:p>
    <w:p>
      <w:pPr>
        <w:pStyle w:val="TextBody"/>
        <w:bidi w:val="0"/>
        <w:spacing w:before="0" w:after="120"/>
        <w:jc w:val="left"/>
        <w:rPr>
          <w:rFonts w:ascii="Times New Roman" w:hAnsi="Times New Roman"/>
          <w:color w:val="000000"/>
          <w:sz w:val="14"/>
        </w:rPr>
      </w:pPr>
      <w:r>
        <w:rPr>
          <w:rFonts w:ascii="Times New Roman" w:hAnsi="Times New Roman"/>
          <w:color w:val="000000"/>
          <w:sz w:val="14"/>
        </w:rPr>
        <w:t xml:space="preserve">Long-term financing receivables, net of allowance for credit losses of RMB3,723 and RMB3,691 as of December 31, 2025 and June 30, 2026, respectively. </w:t>
      </w:r>
    </w:p>
    <w:p>
      <w:pPr>
        <w:pStyle w:val="TextBody"/>
        <w:bidi w:val="0"/>
        <w:spacing w:before="0" w:after="120"/>
        <w:jc w:val="left"/>
        <w:rPr>
          <w:rFonts w:ascii="Times New Roman" w:hAnsi="Times New Roman"/>
          <w:sz w:val="12"/>
        </w:rPr>
      </w:pPr>
      <w:r>
        <w:rPr>
          <w:rFonts w:ascii="Times New Roman" w:hAnsi="Times New Roman"/>
          <w:color w:val="000000"/>
          <w:sz w:val="14"/>
        </w:rPr>
        <w:t xml:space="preserve">Long-term contract assets and receivables, net of allowance for credit losses of RMB14,569 and RMB4,598 as of December 31, 2025 and June 30, 2026, respectively. </w:t>
      </w:r>
      <w:r>
        <w:rPr>
          <w:rFonts w:ascii="Times New Roman" w:hAnsi="Times New Roman"/>
          <w:color w:val="000000"/>
          <w:sz w:val="12"/>
        </w:rPr>
        <w:br/>
        <w:t> </w:t>
      </w:r>
    </w:p>
    <w:p>
      <w:pPr>
        <w:pStyle w:val="TextBody"/>
        <w:bidi w:val="0"/>
        <w:spacing w:before="240" w:after="283"/>
        <w:jc w:val="center"/>
        <w:rPr>
          <w:rFonts w:ascii="Times New Roman" w:hAnsi="Times New Roman"/>
          <w:sz w:val="18"/>
        </w:rPr>
      </w:pPr>
      <w:r>
        <w:rPr>
          <w:rFonts w:ascii="Times New Roman" w:hAnsi="Times New Roman"/>
          <w:color w:val="000000"/>
          <w:sz w:val="18"/>
        </w:rPr>
        <w:t xml:space="preserve">Page </w:t>
      </w:r>
      <w:r>
        <w:rPr>
          <w:rFonts w:ascii="Times New Roman" w:hAnsi="Times New Roman"/>
          <w:b/>
          <w:color w:val="000000"/>
          <w:sz w:val="18"/>
        </w:rPr>
        <w:t>8</w:t>
      </w:r>
      <w:r>
        <w:rPr>
          <w:rFonts w:ascii="Times New Roman" w:hAnsi="Times New Roman"/>
          <w:color w:val="000000"/>
          <w:sz w:val="18"/>
        </w:rPr>
        <w:t xml:space="preserve"> 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LexinFintech Holdings Ltd.</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3836"/>
        <w:gridCol w:w="146"/>
        <w:gridCol w:w="706"/>
        <w:gridCol w:w="151"/>
        <w:gridCol w:w="146"/>
        <w:gridCol w:w="706"/>
        <w:gridCol w:w="151"/>
        <w:gridCol w:w="146"/>
        <w:gridCol w:w="706"/>
        <w:gridCol w:w="151"/>
        <w:gridCol w:w="146"/>
        <w:gridCol w:w="146"/>
        <w:gridCol w:w="706"/>
        <w:gridCol w:w="151"/>
        <w:gridCol w:w="146"/>
        <w:gridCol w:w="706"/>
        <w:gridCol w:w="151"/>
        <w:gridCol w:w="146"/>
        <w:gridCol w:w="706"/>
        <w:gridCol w:w="356"/>
      </w:tblGrid>
      <w:tr>
        <w:trPr/>
        <w:tc>
          <w:tcPr>
            <w:tcW w:w="3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ind w:left="0" w:right="0" w:firstLine="80"/>
              <w:jc w:val="left"/>
              <w:rPr>
                <w:sz w:val="4"/>
                <w:szCs w:val="4"/>
              </w:rPr>
            </w:pPr>
            <w:r>
              <w:rPr>
                <w:sz w:val="4"/>
                <w:szCs w:val="4"/>
              </w:rPr>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8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For the Three Months Ended June 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For the Six Months Ended June 30,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(In thousands, except for share and per share data)</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2026</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US$</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Operating revenue:</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Credit facilitation service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2,269,846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1,930,271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284,487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4,460,712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4,161,942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613,394</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Loan facilitation and servicing fees-credit oriented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1,130,734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738,377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108,823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2,266,963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1,776,306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261,795</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Guarantee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571,181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758,525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1,118,995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1,485,601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218,950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Financing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567,931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433,369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63,871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1,074,754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900,035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132,649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Tech-empowerment service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830,124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473,053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69,719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1,454,974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1,025,853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151,192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2"/>
              </w:rPr>
            </w:pPr>
            <w:r>
              <w:rPr>
                <w:rFonts w:ascii="Times New Roman" w:hAnsi="Times New Roman"/>
                <w:b/>
                <w:color w:val="000000"/>
                <w:sz w:val="12"/>
              </w:rPr>
              <w:t>Installment e-commerce platform service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487,444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783,684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115,501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775,827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1,308,351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192,827</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operating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3,587,414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3,187,008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469,707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6,691,513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6,496,146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957,413</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Operating cost</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(425,900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(484,419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(71,395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(687,932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(833,118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(122,786</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Funding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(142,944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(11,812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Processing and servicing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(605,652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(546,287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(1,156,793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(1,180,137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(173,931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Provision for financing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(256,857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(410,100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(60,441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(439,006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(750,760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(110,648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Provision for contract assets and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(164,224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(173,689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(293,909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(310,198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(45,718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Provision for contingent guarantee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(802,157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(1,052,289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(155,088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(1,479,337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(2,011,441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(296,450</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operating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(2,314,730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(2,691,288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(396,647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(4,199,921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(5,165,800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(761,345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Gross profit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1,272,684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495,720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73,060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2,491,592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1,330,346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196,068</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Operating expenses:</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Sales and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(567,025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(346,996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(51,141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(1,060,153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(858,952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(126,594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(157,680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(146,681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(313,306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(294,973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(43,474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General and administrative expenses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(96,010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(107,320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(196,763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(204,825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(30,187</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operating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(820,715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(600,997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(88,576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(1,570,222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(1,358,750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(200,255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b/>
                <w:color w:val="000000"/>
                <w:sz w:val="12"/>
              </w:rPr>
            </w:pPr>
            <w:r>
              <w:rPr>
                <w:rFonts w:ascii="Times New Roman" w:hAnsi="Times New Roman"/>
                <w:b/>
                <w:color w:val="000000"/>
                <w:sz w:val="12"/>
              </w:rPr>
              <w:t>)</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Change in fair value of financial guarantee derivatives and loans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184,089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238,381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35,133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258,728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399,600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58,894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Investment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Others,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72,341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10,662</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Income before income tax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631,308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154,782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22,811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1,162,779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424,188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62,517</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Income tax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(119,907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(221,054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(121,433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(17,897</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511,401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101,315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14,931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941,725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302,755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44,620</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income attributable to ordinary shareholders of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511,401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101,315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14,931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941,725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302,755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44,620</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income per ordinary share attributable to ordinary shareholders of the Company</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income per ADS attributable to ordinary shareholders of the Company</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0.27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0.27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Weighted average ordinary shares outstanding</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340,489,447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330,298,998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330,298,998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339,288,258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330,946,369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330,946,369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358,475,575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333,417,483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333,417,483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359,067,911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335,031,820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335,031,820</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sz w:val="18"/>
        </w:rPr>
      </w:pPr>
      <w:r>
        <w:rPr>
          <w:rFonts w:ascii="Times New Roman" w:hAnsi="Times New Roman"/>
          <w:color w:val="000000"/>
          <w:sz w:val="18"/>
        </w:rPr>
        <w:t xml:space="preserve">Page </w:t>
      </w:r>
      <w:r>
        <w:rPr>
          <w:rFonts w:ascii="Times New Roman" w:hAnsi="Times New Roman"/>
          <w:b/>
          <w:color w:val="000000"/>
          <w:sz w:val="18"/>
        </w:rPr>
        <w:t>9</w:t>
      </w:r>
      <w:r>
        <w:rPr>
          <w:rFonts w:ascii="Times New Roman" w:hAnsi="Times New Roman"/>
          <w:color w:val="000000"/>
          <w:sz w:val="18"/>
        </w:rPr>
        <w:t xml:space="preserve"> 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LexinFintech Holdings Ltd.</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Comprehensive Income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94"/>
        <w:gridCol w:w="149"/>
        <w:gridCol w:w="706"/>
        <w:gridCol w:w="149"/>
        <w:gridCol w:w="149"/>
        <w:gridCol w:w="706"/>
        <w:gridCol w:w="169"/>
        <w:gridCol w:w="149"/>
        <w:gridCol w:w="614"/>
        <w:gridCol w:w="166"/>
        <w:gridCol w:w="146"/>
        <w:gridCol w:w="146"/>
        <w:gridCol w:w="691"/>
        <w:gridCol w:w="146"/>
        <w:gridCol w:w="146"/>
        <w:gridCol w:w="691"/>
        <w:gridCol w:w="146"/>
        <w:gridCol w:w="146"/>
        <w:gridCol w:w="601"/>
        <w:gridCol w:w="495"/>
      </w:tblGrid>
      <w:tr>
        <w:trPr/>
        <w:tc>
          <w:tcPr>
            <w:tcW w:w="389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38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income</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511,401</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101,315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941,725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302,755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44,620</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 comprehensive income</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89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Foreign currency translation adjustment, net of nil tax</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7,695</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(2,707</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income</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519,096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98,608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947,161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303,010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44,658</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income attributable to ordinary shareholders of the Company</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519,096</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98,608</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14,532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947,161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303,010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44,658</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sz w:val="18"/>
        </w:rPr>
      </w:pPr>
      <w:r>
        <w:rPr>
          <w:rFonts w:ascii="Times New Roman" w:hAnsi="Times New Roman"/>
          <w:color w:val="000000"/>
          <w:sz w:val="18"/>
        </w:rPr>
        <w:t xml:space="preserve">Page </w:t>
      </w:r>
      <w:r>
        <w:rPr>
          <w:rFonts w:ascii="Times New Roman" w:hAnsi="Times New Roman"/>
          <w:b/>
          <w:color w:val="000000"/>
          <w:sz w:val="18"/>
        </w:rPr>
        <w:t>10</w:t>
      </w:r>
      <w:r>
        <w:rPr>
          <w:rFonts w:ascii="Times New Roman" w:hAnsi="Times New Roman"/>
          <w:color w:val="000000"/>
          <w:sz w:val="18"/>
        </w:rPr>
        <w:t xml:space="preserve"> 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LexinFintech Holdings Ltd.</w:t>
      </w:r>
    </w:p>
    <w:p>
      <w:pPr>
        <w:pStyle w:val="TextBody"/>
        <w:bidi w:val="0"/>
        <w:jc w:val="center"/>
        <w:rPr>
          <w:rFonts w:ascii="Times New Roman" w:hAnsi="Times New Roman"/>
          <w:b/>
          <w:color w:val="000000"/>
          <w:sz w:val="20"/>
        </w:rPr>
      </w:pPr>
      <w:r>
        <w:rPr>
          <w:rFonts w:ascii="Times New Roman" w:hAnsi="Times New Roman"/>
          <w:b/>
          <w:color w:val="000000"/>
          <w:sz w:val="20"/>
        </w:rPr>
        <w:t>Unaudited Reconciliations of GAAP and Non-GAAP Results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16"/>
        <w:gridCol w:w="146"/>
        <w:gridCol w:w="841"/>
        <w:gridCol w:w="146"/>
        <w:gridCol w:w="146"/>
        <w:gridCol w:w="841"/>
        <w:gridCol w:w="146"/>
        <w:gridCol w:w="146"/>
        <w:gridCol w:w="841"/>
        <w:gridCol w:w="146"/>
        <w:gridCol w:w="146"/>
        <w:gridCol w:w="146"/>
        <w:gridCol w:w="841"/>
        <w:gridCol w:w="146"/>
        <w:gridCol w:w="146"/>
        <w:gridCol w:w="841"/>
        <w:gridCol w:w="146"/>
        <w:gridCol w:w="146"/>
        <w:gridCol w:w="841"/>
        <w:gridCol w:w="291"/>
      </w:tblGrid>
      <w:tr>
        <w:trPr/>
        <w:tc>
          <w:tcPr>
            <w:tcW w:w="3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5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Six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 thousands, except for share and per share data)</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US$</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Reconciliation of Adjusted net income attributable to ordinary shareholders of the Company to Net income attributable to ordinary shareholders of the Company</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Net income attributable to ordinary shareholders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511,401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941,725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44,620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Add: 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6,651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Investment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Adjusted net income attributable to ordinary shareholders of the Company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540,710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127,475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18,787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1,012,274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355,529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52,398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Adjusted net income per ordinary share attributable to ordinary shareholders of the Company</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Adjusted net income per ADS attributable to ordinary shareholders of the Company</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Weighted average shares used in calculating net income per ordinary share for non-GAAP EPS</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340,489,447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330,298,998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330,298,998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339,288,258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330,946,369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330,946,369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358,475,575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333,417,483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333,417,483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359,067,911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335,031,820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335,031,820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Reconciliations of Non-GAAP EBIT to Net income</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511,401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941,725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44,620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Add: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17,897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6,651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Investment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4"/>
              </w:rPr>
            </w:pPr>
            <w:r>
              <w:rPr>
                <w:rFonts w:ascii="Times New Roman" w:hAnsi="Times New Roman"/>
                <w:b/>
                <w:color w:val="000000"/>
                <w:sz w:val="14"/>
              </w:rPr>
              <w:t>Non-GAAP EBIT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665,238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187,337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27,610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1,242,651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488,665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72,020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sz w:val="18"/>
        </w:rPr>
      </w:pPr>
      <w:r>
        <w:rPr>
          <w:rFonts w:ascii="Times New Roman" w:hAnsi="Times New Roman"/>
          <w:color w:val="000000"/>
          <w:sz w:val="18"/>
        </w:rPr>
        <w:t xml:space="preserve">Page </w:t>
      </w:r>
      <w:r>
        <w:rPr>
          <w:rFonts w:ascii="Times New Roman" w:hAnsi="Times New Roman"/>
          <w:b/>
          <w:color w:val="000000"/>
          <w:sz w:val="18"/>
        </w:rPr>
        <w:t>11</w:t>
      </w:r>
      <w:r>
        <w:rPr>
          <w:rFonts w:ascii="Times New Roman" w:hAnsi="Times New Roman"/>
          <w:color w:val="000000"/>
          <w:sz w:val="18"/>
        </w:rPr>
        <w:t xml:space="preserve"> 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Additional Credit Information</w:t>
      </w:r>
    </w:p>
    <w:p>
      <w:pPr>
        <w:pStyle w:val="TextBody"/>
        <w:bidi w:val="0"/>
        <w:spacing w:lineRule="auto" w:line="360" w:before="120" w:after="283"/>
        <w:jc w:val="left"/>
        <w:rPr>
          <w:rFonts w:ascii="Times New Roman" w:hAnsi="Times New Roman"/>
          <w:sz w:val="13"/>
        </w:rPr>
      </w:pPr>
      <w:r>
        <w:rPr>
          <w:rFonts w:ascii="Times New Roman" w:hAnsi="Times New Roman"/>
          <w:b/>
          <w:color w:val="000000"/>
          <w:sz w:val="20"/>
        </w:rPr>
        <w:t>Vintage Charge Off Curve</w:t>
      </w:r>
      <w:r>
        <w:rPr>
          <w:rFonts w:ascii="Times New Roman" w:hAnsi="Times New Roman"/>
          <w:b/>
          <w:color w:val="000000"/>
          <w:sz w:val="13"/>
        </w:rPr>
        <w:t>1</w:t>
      </w:r>
    </w:p>
    <w:p>
      <w:pPr>
        <w:pStyle w:val="TextBody"/>
        <w:bidi w:val="0"/>
        <w:spacing w:before="120" w:after="283"/>
        <w:jc w:val="left"/>
        <w:rPr/>
      </w:pPr>
      <w:r>
        <w:rPr/>
        <w:drawing>
          <wp:inline distT="0" distB="0" distL="0" distR="0">
            <wp:extent cx="5943600" cy="2638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2638425"/>
                    </a:xfrm>
                    <a:prstGeom prst="rect">
                      <a:avLst/>
                    </a:prstGeom>
                  </pic:spPr>
                </pic:pic>
              </a:graphicData>
            </a:graphic>
          </wp:inline>
        </w:drawing>
      </w:r>
    </w:p>
    <w:p>
      <w:pPr>
        <w:pStyle w:val="TextBody"/>
        <w:bidi w:val="0"/>
        <w:spacing w:before="120" w:after="283"/>
        <w:jc w:val="left"/>
        <w:rPr/>
      </w:pPr>
      <w:r>
        <w:rPr/>
        <w:t> </w:t>
      </w:r>
    </w:p>
    <w:p>
      <w:pPr>
        <w:pStyle w:val="TextBody"/>
        <w:bidi w:val="0"/>
        <w:spacing w:lineRule="auto" w:line="360" w:before="120" w:after="283"/>
        <w:jc w:val="left"/>
        <w:rPr>
          <w:rFonts w:ascii="Times New Roman" w:hAnsi="Times New Roman"/>
          <w:sz w:val="13"/>
        </w:rPr>
      </w:pPr>
      <w:r>
        <w:rPr>
          <w:rFonts w:ascii="Times New Roman" w:hAnsi="Times New Roman"/>
          <w:b/>
          <w:color w:val="000000"/>
          <w:sz w:val="20"/>
        </w:rPr>
        <w:t>Dpd30+/GMV by Performance Windows</w:t>
      </w:r>
      <w:r>
        <w:rPr>
          <w:rFonts w:ascii="Times New Roman" w:hAnsi="Times New Roman"/>
          <w:b/>
          <w:color w:val="000000"/>
          <w:sz w:val="13"/>
        </w:rPr>
        <w:t>1</w:t>
      </w:r>
    </w:p>
    <w:p>
      <w:pPr>
        <w:pStyle w:val="TextBody"/>
        <w:bidi w:val="0"/>
        <w:spacing w:before="120" w:after="283"/>
        <w:jc w:val="left"/>
        <w:rPr/>
      </w:pPr>
      <w:r>
        <w:rPr/>
        <w:drawing>
          <wp:inline distT="0" distB="0" distL="0" distR="0">
            <wp:extent cx="5943600" cy="2457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2457450"/>
                    </a:xfrm>
                    <a:prstGeom prst="rect">
                      <a:avLst/>
                    </a:prstGeom>
                  </pic:spPr>
                </pic:pic>
              </a:graphicData>
            </a:graphic>
          </wp:inline>
        </w:drawing>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sz w:val="18"/>
        </w:rPr>
      </w:pPr>
      <w:r>
        <w:rPr>
          <w:rFonts w:ascii="Times New Roman" w:hAnsi="Times New Roman"/>
          <w:color w:val="000000"/>
          <w:sz w:val="18"/>
        </w:rPr>
        <w:t xml:space="preserve">Page </w:t>
      </w:r>
      <w:r>
        <w:rPr>
          <w:rFonts w:ascii="Times New Roman" w:hAnsi="Times New Roman"/>
          <w:b/>
          <w:color w:val="000000"/>
          <w:sz w:val="18"/>
        </w:rPr>
        <w:t>12</w:t>
      </w:r>
      <w:r>
        <w:rPr>
          <w:rFonts w:ascii="Times New Roman" w:hAnsi="Times New Roman"/>
          <w:color w:val="000000"/>
          <w:sz w:val="18"/>
        </w:rPr>
        <w:t xml:space="preserve"> 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120" w:after="283"/>
        <w:jc w:val="left"/>
        <w:rPr>
          <w:rFonts w:ascii="Times New Roman" w:hAnsi="Times New Roman"/>
          <w:sz w:val="13"/>
        </w:rPr>
      </w:pPr>
      <w:r>
        <w:rPr>
          <w:rFonts w:ascii="Times New Roman" w:hAnsi="Times New Roman"/>
          <w:b/>
          <w:color w:val="000000"/>
          <w:sz w:val="20"/>
        </w:rPr>
        <w:t>First Payment Default 30+</w:t>
      </w:r>
      <w:r>
        <w:rPr>
          <w:rFonts w:ascii="Times New Roman" w:hAnsi="Times New Roman"/>
          <w:b/>
          <w:color w:val="000000"/>
          <w:sz w:val="13"/>
        </w:rPr>
        <w:t>1</w:t>
      </w:r>
    </w:p>
    <w:p>
      <w:pPr>
        <w:pStyle w:val="TextBody"/>
        <w:bidi w:val="0"/>
        <w:spacing w:before="120" w:after="283"/>
        <w:jc w:val="left"/>
        <w:rPr/>
      </w:pPr>
      <w:r>
        <w:rPr/>
        <w:drawing>
          <wp:inline distT="0" distB="0" distL="0" distR="0">
            <wp:extent cx="5943600" cy="2238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2238375"/>
                    </a:xfrm>
                    <a:prstGeom prst="rect">
                      <a:avLst/>
                    </a:prstGeom>
                  </pic:spPr>
                </pic:pic>
              </a:graphicData>
            </a:graphic>
          </wp:inline>
        </w:drawing>
      </w:r>
    </w:p>
    <w:p>
      <w:pPr>
        <w:pStyle w:val="TextBody"/>
        <w:bidi w:val="0"/>
        <w:spacing w:before="0" w:after="160"/>
        <w:jc w:val="left"/>
        <w:rPr>
          <w:rFonts w:ascii="Times New Roman" w:hAnsi="Times New Roman"/>
          <w:i/>
          <w:color w:val="000000"/>
          <w:sz w:val="15"/>
        </w:rPr>
      </w:pPr>
      <w:r>
        <w:rPr>
          <w:rFonts w:ascii="Times New Roman" w:hAnsi="Times New Roman"/>
          <w:i/>
          <w:color w:val="000000"/>
          <w:sz w:val="15"/>
        </w:rPr>
        <w:t>1. Loans facilitated under ICP and E-commerce business are excluded from the charts.</w:t>
      </w:r>
    </w:p>
    <w:p>
      <w:pPr>
        <w:pStyle w:val="TextBody"/>
        <w:bidi w:val="0"/>
        <w:spacing w:before="240" w:after="283"/>
        <w:jc w:val="center"/>
        <w:rPr>
          <w:rFonts w:ascii="Times New Roman" w:hAnsi="Times New Roman"/>
          <w:sz w:val="18"/>
        </w:rPr>
      </w:pPr>
      <w:r>
        <w:rPr>
          <w:rFonts w:ascii="Times New Roman" w:hAnsi="Times New Roman"/>
          <w:color w:val="000000"/>
          <w:sz w:val="18"/>
        </w:rPr>
        <w:t xml:space="preserve">Page </w:t>
      </w:r>
      <w:r>
        <w:rPr>
          <w:rFonts w:ascii="Times New Roman" w:hAnsi="Times New Roman"/>
          <w:b/>
          <w:color w:val="000000"/>
          <w:sz w:val="18"/>
        </w:rPr>
        <w:t>13</w:t>
      </w:r>
      <w:r>
        <w:rPr>
          <w:rFonts w:ascii="Times New Roman" w:hAnsi="Times New Roman"/>
          <w:color w:val="000000"/>
          <w:sz w:val="18"/>
        </w:rPr>
        <w:t xml:space="preserve"> of </w:t>
      </w:r>
      <w:r>
        <w:rPr>
          <w:rFonts w:ascii="Times New Roman" w:hAnsi="Times New Roman"/>
          <w:b/>
          <w:color w:val="000000"/>
          <w:sz w:val="18"/>
        </w:rPr>
        <w:t>13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4784</Words>
  <Characters>27458</Characters>
  <CharactersWithSpaces>32671</CharactersWithSpaces>
  <Paragraphs>2173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