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Long Annabelle Yu</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ind w:left="200"/>
              <w:spacing w:after="0" w:line="205"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LexinFintech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27/F CES TOWER</w:t>
            </w:r>
          </w:p>
        </w:tc>
        <w:tc>
          <w:tcPr>
            <w:tcW w:w="128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NO. 3099 KEYUAN SOUTH ROAD</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5"/>
        </w:trPr>
        <w:tc>
          <w:tcPr>
            <w:tcW w:w="1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SHENZHEN F4</w:t>
            </w:r>
          </w:p>
        </w:tc>
        <w:tc>
          <w:tcPr>
            <w:tcW w:w="128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518057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304" w:lineRule="exact"/>
        <w:rPr>
          <w:sz w:val="24"/>
          <w:szCs w:val="24"/>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59" w:lineRule="exact"/>
        <w:rPr>
          <w:sz w:val="24"/>
          <w:szCs w:val="24"/>
          <w:color w:val="auto"/>
        </w:rPr>
      </w:pPr>
    </w:p>
    <w:p>
      <w:pPr>
        <w:sectPr>
          <w:pgSz w:w="11900" w:h="16838" w:orient="portrait"/>
          <w:cols w:equalWidth="0" w:num="3">
            <w:col w:w="4277" w:space="720"/>
            <w:col w:w="3003" w:space="260"/>
            <w:col w:w="2680"/>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640"/>
              <w:spacing w:after="0"/>
              <w:rPr>
                <w:sz w:val="20"/>
                <w:szCs w:val="20"/>
                <w:color w:val="auto"/>
              </w:rPr>
            </w:pPr>
            <w:r>
              <w:rPr>
                <w:rFonts w:ascii="Times New Roman" w:cs="Times New Roman" w:eastAsia="Times New Roman" w:hAnsi="Times New Roman"/>
                <w:sz w:val="20"/>
                <w:szCs w:val="20"/>
                <w:color w:val="0000FF"/>
              </w:rPr>
              <w:t>12,414</w:t>
            </w:r>
          </w:p>
        </w:tc>
        <w:tc>
          <w:tcPr>
            <w:tcW w:w="8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86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6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45,000</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60" w:type="dxa"/>
            <w:vAlign w:val="bottom"/>
          </w:tcPr>
          <w:p>
            <w:pPr>
              <w:jc w:val="center"/>
              <w:ind w:left="12"/>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60,000</w:t>
            </w:r>
          </w:p>
        </w:tc>
        <w:tc>
          <w:tcPr>
            <w:tcW w:w="4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ind w:left="12"/>
              <w:spacing w:after="0"/>
              <w:rPr>
                <w:sz w:val="20"/>
                <w:szCs w:val="20"/>
                <w:color w:val="auto"/>
              </w:rPr>
            </w:pPr>
            <w:r>
              <w:rPr>
                <w:rFonts w:ascii="Times New Roman" w:cs="Times New Roman" w:eastAsia="Times New Roman" w:hAnsi="Times New Roman"/>
                <w:sz w:val="20"/>
                <w:szCs w:val="20"/>
                <w:color w:val="0000FF"/>
                <w:w w:val="99"/>
              </w:rPr>
              <w:t>shares</w:t>
            </w:r>
          </w:p>
        </w:tc>
        <w:tc>
          <w:tcPr>
            <w:tcW w:w="8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Acquired upon vesting of restricted shares units and held in the form of American depositary shares, each representing two Class A ordinary shares.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August 18, 2024 and will vest in equal installments on August 18, 2026, 2027 and 2028. They do not have an expiration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contingent rights to receive one Class A ordinary share.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March 18, 2026 and will vest in equal installments on August 18, 2029, 2030, 2031 and 2032. They do not have an expiration 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This amendment is being filed solely to update the number of securities in Table I. Other information remains unchanged from the form originally filed.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Annabelle Yu Long</w:t>
            </w:r>
          </w:p>
        </w:tc>
        <w:tc>
          <w:tcPr>
            <w:tcW w:w="4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04/27/2026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62661" TargetMode="External"/><Relationship Id="rId11" Type="http://schemas.openxmlformats.org/officeDocument/2006/relationships/hyperlink" Target="http://www.sec.gov/cgi-bin/browse-edgar?action=getcompany&amp;CIK=00017082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2026-04-27T05:33:09Z</dcterms:created>
  <dcterms:modified xsi:type="dcterms:W3CDTF">2026-04-27T05:33:09Z</dcterms:modified>
</cp:coreProperties>
</file>