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WU Wei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27/F CES TOWER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3099 KEYUAN SOUTH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SHENZHEN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518057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LexinFintech Holdings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LX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14"/>
        <w:gridCol w:w="1965"/>
        <w:gridCol w:w="1170"/>
        <w:gridCol w:w="2656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1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36"/>
        <w:gridCol w:w="1222"/>
        <w:gridCol w:w="1130"/>
        <w:gridCol w:w="1280"/>
        <w:gridCol w:w="940"/>
        <w:gridCol w:w="1269"/>
        <w:gridCol w:w="1233"/>
        <w:gridCol w:w="1395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7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2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7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 Units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12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Acquired upon vesting of restricted shares units and held in the form of American depositary shares, each representing two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share units were granted on March 18, 2026 and will vest in equal installmentson December 20, 2026, 2027, 2028 and 2029. They do not have an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represents contingent rights to receive one Class A ordinary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amendment is being filed solely to update the number of securities in Table I. Other information remains unchanged from the form originally filed.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Wei Wu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47746" TargetMode="External"/><Relationship Id="rId3" Type="http://schemas.openxmlformats.org/officeDocument/2006/relationships/hyperlink" Target="http://www.sec.gov/cgi-bin/browse-edgar?action=getcompany&amp;CIK=000170825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495</Words>
  <Characters>2686</Characters>
  <CharactersWithSpaces>3133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