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media/image2.gif" ContentType="image/gif"/>
  <Override PartName="/word/media/image3.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lx-2026_q1_6k.htm"/>
      <w:bookmarkStart w:id="1" w:name="kslx2026_q1_6k"/>
      <w:bookmarkEnd w:id="0"/>
      <w:bookmarkEnd w:id="1"/>
      <w:r>
        <w:rPr/>
        <w:t> </w:t>
      </w:r>
    </w:p>
    <w:p>
      <w:pPr>
        <w:pStyle w:val="TextBody"/>
        <w:pBdr>
          <w:top w:val="double" w:sz="4" w:space="1" w:color="000000"/>
        </w:pBdr>
        <w:bidi w:val="0"/>
        <w:jc w:val="center"/>
        <w:rPr/>
      </w:pPr>
      <w:bookmarkStart w:id="2" w:name="ole_link3"/>
      <w:bookmarkStart w:id="3" w:name="ole_link4"/>
      <w:bookmarkEnd w:id="2"/>
      <w:bookmarkEnd w:id="3"/>
      <w:r>
        <w:rPr/>
        <w:t> </w:t>
      </w:r>
    </w:p>
    <w:p>
      <w:pPr>
        <w:pStyle w:val="TextBody"/>
        <w:bidi w:val="0"/>
        <w:jc w:val="center"/>
        <w:rPr>
          <w:rFonts w:ascii="Times New Roman" w:hAnsi="Times New Roman"/>
          <w:b/>
          <w:color w:val="000000"/>
          <w:sz w:val="32"/>
        </w:rPr>
      </w:pPr>
      <w:r>
        <w:rPr>
          <w:rFonts w:ascii="Times New Roman" w:hAnsi="Times New Roman"/>
          <w:b/>
          <w:color w:val="000000"/>
          <w:sz w:val="32"/>
        </w:rPr>
        <w:t>UNITED STATES</w:t>
      </w:r>
    </w:p>
    <w:p>
      <w:pPr>
        <w:pStyle w:val="TextBody"/>
        <w:bidi w:val="0"/>
        <w:jc w:val="center"/>
        <w:rPr>
          <w:rFonts w:ascii="Times New Roman" w:hAnsi="Times New Roman"/>
          <w:b/>
          <w:color w:val="000000"/>
          <w:sz w:val="32"/>
        </w:rPr>
      </w:pPr>
      <w:r>
        <w:rPr>
          <w:rFonts w:ascii="Times New Roman" w:hAnsi="Times New Roman"/>
          <w:b/>
          <w:color w:val="000000"/>
          <w:sz w:val="32"/>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jc w:val="center"/>
        <w:rPr/>
      </w:pPr>
      <w:r>
        <w:rPr/>
        <w:t> </w:t>
      </w:r>
    </w:p>
    <w:p>
      <w:pPr>
        <w:pStyle w:val="TextBody"/>
        <w:bidi w:val="0"/>
        <w:spacing w:before="120" w:after="283"/>
        <w:jc w:val="center"/>
        <w:rPr>
          <w:rFonts w:ascii="Times New Roman" w:hAnsi="Times New Roman"/>
          <w:b/>
          <w:color w:val="000000"/>
          <w:sz w:val="32"/>
        </w:rPr>
      </w:pPr>
      <w:r>
        <w:rPr>
          <w:rFonts w:ascii="Times New Roman" w:hAnsi="Times New Roman"/>
          <w:b/>
          <w:color w:val="000000"/>
          <w:sz w:val="32"/>
        </w:rPr>
        <w:t>FORM 6-K</w:t>
      </w:r>
    </w:p>
    <w:p>
      <w:pPr>
        <w:pStyle w:val="TextBody"/>
        <w:pBdr>
          <w:bottom w:val="single" w:sz="4" w:space="1" w:color="000000"/>
        </w:pBdr>
        <w:bidi w:val="0"/>
        <w:jc w:val="center"/>
        <w:rPr/>
      </w:pPr>
      <w:r>
        <w:rPr/>
        <w:t> </w:t>
      </w:r>
    </w:p>
    <w:p>
      <w:pPr>
        <w:pStyle w:val="TextBody"/>
        <w:bidi w:val="0"/>
        <w:spacing w:before="120" w:after="283"/>
        <w:jc w:val="center"/>
        <w:rPr>
          <w:rFonts w:ascii="Times New Roman" w:hAnsi="Times New Roman"/>
          <w:b/>
          <w:color w:val="000000"/>
          <w:sz w:val="24"/>
        </w:rPr>
      </w:pPr>
      <w:r>
        <w:rPr>
          <w:rFonts w:ascii="Times New Roman" w:hAnsi="Times New Roman"/>
          <w:b/>
          <w:color w:val="000000"/>
          <w:sz w:val="24"/>
        </w:rPr>
        <w:t>REPORT OF FOREIGN PRIVATE ISSUER</w:t>
      </w:r>
    </w:p>
    <w:p>
      <w:pPr>
        <w:pStyle w:val="TextBody"/>
        <w:bidi w:val="0"/>
        <w:jc w:val="center"/>
        <w:rPr>
          <w:rFonts w:ascii="Times New Roman" w:hAnsi="Times New Roman"/>
          <w:b/>
          <w:color w:val="000000"/>
          <w:sz w:val="24"/>
        </w:rPr>
      </w:pPr>
      <w:r>
        <w:rPr>
          <w:rFonts w:ascii="Times New Roman" w:hAnsi="Times New Roman"/>
          <w:b/>
          <w:color w:val="000000"/>
          <w:sz w:val="24"/>
        </w:rPr>
        <w:t>PURSUANT TO RULE 13a-16 OR 15d-16 UNDER</w:t>
      </w:r>
    </w:p>
    <w:p>
      <w:pPr>
        <w:pStyle w:val="TextBody"/>
        <w:bidi w:val="0"/>
        <w:jc w:val="center"/>
        <w:rPr>
          <w:rFonts w:ascii="Times New Roman" w:hAnsi="Times New Roman"/>
          <w:b/>
          <w:color w:val="000000"/>
          <w:sz w:val="24"/>
        </w:rPr>
      </w:pPr>
      <w:r>
        <w:rPr>
          <w:rFonts w:ascii="Times New Roman" w:hAnsi="Times New Roman"/>
          <w:b/>
          <w:color w:val="000000"/>
          <w:sz w:val="24"/>
        </w:rPr>
        <w:t>THE SECURITIES EXCHANGE ACT OF 1934</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For the month of May 2026</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Commission File Number: 001-38328</w:t>
      </w:r>
    </w:p>
    <w:p>
      <w:pPr>
        <w:pStyle w:val="TextBody"/>
        <w:pBdr>
          <w:bottom w:val="single" w:sz="4" w:space="1" w:color="000000"/>
        </w:pBdr>
        <w:bidi w:val="0"/>
        <w:jc w:val="center"/>
        <w:rPr/>
      </w:pPr>
      <w:r>
        <w:rPr/>
        <w:t> </w:t>
      </w:r>
    </w:p>
    <w:p>
      <w:pPr>
        <w:pStyle w:val="TextBody"/>
        <w:bidi w:val="0"/>
        <w:spacing w:before="120" w:after="283"/>
        <w:jc w:val="center"/>
        <w:rPr>
          <w:rFonts w:ascii="Times New Roman" w:hAnsi="Times New Roman"/>
          <w:b/>
          <w:color w:val="000000"/>
          <w:sz w:val="48"/>
        </w:rPr>
      </w:pPr>
      <w:r>
        <w:rPr>
          <w:rFonts w:ascii="Times New Roman" w:hAnsi="Times New Roman"/>
          <w:b/>
          <w:color w:val="000000"/>
          <w:sz w:val="48"/>
        </w:rPr>
        <w:t>LexinFintech Holdings Ltd.</w:t>
      </w:r>
    </w:p>
    <w:p>
      <w:pPr>
        <w:pStyle w:val="TextBody"/>
        <w:pBdr>
          <w:bottom w:val="single" w:sz="4" w:space="1" w:color="000000"/>
        </w:pBdr>
        <w:bidi w:val="0"/>
        <w:jc w:val="center"/>
        <w:rPr/>
      </w:pPr>
      <w:r>
        <w:rPr/>
        <w:t> </w:t>
      </w:r>
    </w:p>
    <w:p>
      <w:pPr>
        <w:pStyle w:val="TextBody"/>
        <w:bidi w:val="0"/>
        <w:spacing w:before="120" w:after="283"/>
        <w:jc w:val="center"/>
        <w:rPr>
          <w:rFonts w:ascii="Times New Roman" w:hAnsi="Times New Roman"/>
          <w:sz w:val="20"/>
        </w:rPr>
      </w:pPr>
      <w:r>
        <w:rPr>
          <w:rFonts w:ascii="Times New Roman" w:hAnsi="Times New Roman"/>
          <w:b/>
          <w:color w:val="000000"/>
          <w:sz w:val="24"/>
        </w:rPr>
        <w:t>27/F CES Tower</w:t>
      </w:r>
      <w:r>
        <w:rPr>
          <w:rFonts w:ascii="Times New Roman" w:hAnsi="Times New Roman"/>
          <w:color w:val="000000"/>
          <w:sz w:val="20"/>
        </w:rPr>
        <w:t xml:space="preserve"> </w:t>
      </w:r>
    </w:p>
    <w:p>
      <w:pPr>
        <w:pStyle w:val="TextBody"/>
        <w:bidi w:val="0"/>
        <w:jc w:val="center"/>
        <w:rPr>
          <w:rFonts w:ascii="Times New Roman" w:hAnsi="Times New Roman"/>
          <w:b/>
          <w:color w:val="000000"/>
          <w:sz w:val="24"/>
        </w:rPr>
      </w:pPr>
      <w:r>
        <w:rPr>
          <w:rFonts w:ascii="Times New Roman" w:hAnsi="Times New Roman"/>
          <w:b/>
          <w:color w:val="000000"/>
          <w:sz w:val="24"/>
        </w:rPr>
        <w:t>No. 3099 Keyuan South Road</w:t>
      </w:r>
    </w:p>
    <w:p>
      <w:pPr>
        <w:pStyle w:val="TextBody"/>
        <w:bidi w:val="0"/>
        <w:jc w:val="center"/>
        <w:rPr>
          <w:rFonts w:ascii="Times New Roman" w:hAnsi="Times New Roman"/>
          <w:sz w:val="20"/>
        </w:rPr>
      </w:pPr>
      <w:r>
        <w:rPr>
          <w:rFonts w:ascii="Times New Roman" w:hAnsi="Times New Roman"/>
          <w:b/>
          <w:color w:val="000000"/>
          <w:sz w:val="24"/>
        </w:rPr>
        <w:t>Nanshan District, Shenzhen 518057</w:t>
      </w:r>
      <w:r>
        <w:rPr>
          <w:rFonts w:ascii="Times New Roman" w:hAnsi="Times New Roman"/>
          <w:color w:val="000000"/>
          <w:sz w:val="20"/>
        </w:rPr>
        <w:t xml:space="preserve"> </w:t>
      </w:r>
    </w:p>
    <w:p>
      <w:pPr>
        <w:pStyle w:val="TextBody"/>
        <w:bidi w:val="0"/>
        <w:jc w:val="center"/>
        <w:rPr>
          <w:rFonts w:ascii="Times New Roman" w:hAnsi="Times New Roman"/>
          <w:b/>
          <w:color w:val="000000"/>
          <w:sz w:val="24"/>
        </w:rPr>
      </w:pPr>
      <w:r>
        <w:rPr>
          <w:rFonts w:ascii="Times New Roman" w:hAnsi="Times New Roman"/>
          <w:b/>
          <w:color w:val="000000"/>
          <w:sz w:val="24"/>
        </w:rPr>
        <w:t>The People's Republic of China</w:t>
      </w:r>
    </w:p>
    <w:p>
      <w:pPr>
        <w:pStyle w:val="TextBody"/>
        <w:bidi w:val="0"/>
        <w:jc w:val="center"/>
        <w:rPr>
          <w:rFonts w:ascii="Times New Roman" w:hAnsi="Times New Roman"/>
          <w:b/>
          <w:color w:val="000000"/>
          <w:sz w:val="20"/>
        </w:rPr>
      </w:pPr>
      <w:r>
        <w:rPr>
          <w:rFonts w:ascii="Times New Roman" w:hAnsi="Times New Roman"/>
          <w:b/>
          <w:color w:val="000000"/>
          <w:sz w:val="20"/>
        </w:rPr>
        <w:t>(Address of principal executive offices)</w:t>
      </w:r>
    </w:p>
    <w:p>
      <w:pPr>
        <w:pStyle w:val="TextBody"/>
        <w:pBdr>
          <w:bottom w:val="single" w:sz="4" w:space="1" w:color="000000"/>
        </w:pBdr>
        <w:bidi w:val="0"/>
        <w:jc w:val="center"/>
        <w:rPr/>
      </w:pPr>
      <w:r>
        <w:rPr/>
        <w:t> </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Indicate by check mark whether the registrant files or will file annual reports under cover of Form 20-F or Form 40-F.</w:t>
      </w:r>
    </w:p>
    <w:p>
      <w:pPr>
        <w:pStyle w:val="TextBody"/>
        <w:bidi w:val="0"/>
        <w:spacing w:before="240" w:after="283"/>
        <w:jc w:val="center"/>
        <w:rPr>
          <w:rFonts w:ascii="Times New Roman" w:hAnsi="Times New Roman"/>
          <w:sz w:val="20"/>
        </w:rPr>
      </w:pPr>
      <w:r>
        <w:rPr>
          <w:rFonts w:ascii="Times New Roman" w:hAnsi="Times New Roman"/>
          <w:color w:val="000000"/>
          <w:sz w:val="24"/>
        </w:rPr>
        <w:t>Form 20-F ___</w:t>
      </w:r>
      <w:r>
        <w:rPr>
          <w:rFonts w:ascii="Times New Roman" w:hAnsi="Times New Roman"/>
          <w:color w:val="000000"/>
          <w:sz w:val="24"/>
          <w:u w:val="single"/>
        </w:rPr>
        <w:t>X</w:t>
      </w:r>
      <w:r>
        <w:rPr>
          <w:rFonts w:ascii="Times New Roman" w:hAnsi="Times New Roman"/>
          <w:color w:val="000000"/>
          <w:sz w:val="24"/>
        </w:rPr>
        <w:t>____ Form 40-F _________</w:t>
      </w:r>
    </w:p>
    <w:p>
      <w:pPr>
        <w:pStyle w:val="TextBody"/>
        <w:pBdr>
          <w:bottom w:val="double" w:sz="4" w:space="1" w:color="000000"/>
        </w:pBdr>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SIGNATURES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3238" w:type="dxa"/>
        <w:jc w:val="left"/>
        <w:tblInd w:w="0" w:type="dxa"/>
        <w:tblLayout w:type="fixed"/>
        <w:tblCellMar>
          <w:top w:w="28" w:type="dxa"/>
          <w:left w:w="28" w:type="dxa"/>
          <w:bottom w:w="28" w:type="dxa"/>
          <w:right w:w="28" w:type="dxa"/>
        </w:tblCellMar>
      </w:tblPr>
      <w:tblGrid>
        <w:gridCol w:w="751"/>
        <w:gridCol w:w="146"/>
        <w:gridCol w:w="2341"/>
      </w:tblGrid>
      <w:tr>
        <w:trPr/>
        <w:tc>
          <w:tcPr>
            <w:tcW w:w="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1" w:type="dxa"/>
            <w:tcBorders/>
            <w:vAlign w:val="center"/>
          </w:tcPr>
          <w:p>
            <w:pPr>
              <w:pStyle w:val="TableContents"/>
              <w:bidi w:val="0"/>
              <w:spacing w:before="0" w:after="283"/>
              <w:jc w:val="left"/>
              <w:rPr>
                <w:sz w:val="4"/>
                <w:szCs w:val="4"/>
              </w:rPr>
            </w:pPr>
            <w:r>
              <w:rPr>
                <w:sz w:val="4"/>
                <w:szCs w:val="4"/>
              </w:rPr>
            </w:r>
          </w:p>
        </w:tc>
      </w:tr>
      <w:tr>
        <w:trPr/>
        <w:tc>
          <w:tcPr>
            <w:tcW w:w="3238"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LexinFintech Holdings Ltd.</w:t>
            </w:r>
          </w:p>
        </w:tc>
      </w:tr>
      <w:tr>
        <w:trPr/>
        <w:tc>
          <w:tcPr>
            <w:tcW w:w="3238" w:type="dxa"/>
            <w:gridSpan w:val="3"/>
            <w:tcBorders/>
            <w:tcMar>
              <w:top w:w="0" w:type="dxa"/>
              <w:left w:w="0" w:type="dxa"/>
              <w:bottom w:w="0" w:type="dxa"/>
              <w:right w:w="0" w:type="dxa"/>
            </w:tcMar>
            <w:vAlign w:val="center"/>
          </w:tcPr>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spacing w:before="0" w:after="283"/>
              <w:jc w:val="left"/>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4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 James Xigui Zheng</w:t>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James Xigui Zheng</w:t>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Title: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Chief Financial Officer</w:t>
            </w:r>
          </w:p>
        </w:tc>
      </w:tr>
    </w:tbl>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Date: May 25, 2026</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color w:val="000000"/>
          <w:sz w:val="24"/>
          <w:u w:val="single"/>
        </w:rPr>
      </w:pPr>
      <w:r>
        <w:rPr>
          <w:rFonts w:ascii="Times New Roman" w:hAnsi="Times New Roman"/>
          <w:color w:val="000000"/>
          <w:sz w:val="24"/>
          <w:u w:val="single"/>
        </w:rPr>
        <w:t>Exhibit Index</w:t>
      </w:r>
    </w:p>
    <w:p>
      <w:pPr>
        <w:pStyle w:val="TextBody"/>
        <w:bidi w:val="0"/>
        <w:spacing w:before="240" w:after="283"/>
        <w:jc w:val="left"/>
        <w:rPr/>
      </w:pPr>
      <w:hyperlink w:anchor="lx-ex99_1.htm">
        <w:r>
          <w:rPr>
            <w:rStyle w:val="InternetLink"/>
            <w:rFonts w:ascii="Times New Roman" w:hAnsi="Times New Roman"/>
            <w:color w:val="0000FF"/>
            <w:sz w:val="24"/>
            <w:u w:val="single"/>
          </w:rPr>
          <w:t>Exhibit 99.1—Press Release</w:t>
        </w:r>
      </w:hyperlink>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 w:name="lx-ex99_1.htm"/>
      <w:bookmarkStart w:id="5" w:name="kslxex99_1"/>
      <w:bookmarkEnd w:id="4"/>
      <w:bookmarkEnd w:id="5"/>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99.1</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LexinFintech Holdings Ltd. Reports First Quarter 2026</w:t>
      </w:r>
    </w:p>
    <w:p>
      <w:pPr>
        <w:pStyle w:val="TextBody"/>
        <w:bidi w:val="0"/>
        <w:jc w:val="center"/>
        <w:rPr>
          <w:rFonts w:ascii="Times New Roman" w:hAnsi="Times New Roman"/>
          <w:b/>
          <w:color w:val="000000"/>
          <w:sz w:val="20"/>
        </w:rPr>
      </w:pPr>
      <w:r>
        <w:rPr>
          <w:rFonts w:ascii="Times New Roman" w:hAnsi="Times New Roman"/>
          <w:b/>
          <w:color w:val="000000"/>
          <w:sz w:val="20"/>
        </w:rPr>
        <w:t>Unaudited Financial Results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SHENZHEN, China, May 25, 2026 (GLOBE NEWSWIRE) -- LexinFintech Holdings Ltd. (“Lexin” or the “Company”) (NASDAQ: LX), a leading technology-empowered personal financial service enabler in China, today announced its unaudited financial results for the quarter ended March 31, 2026.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Mr. Jay Wenjie Xiao, Chairman and Chief Executive Officer of Lexin, commented, "In the first quarter, despite the complex macroeconomic and industry environment, the diversified business ecosystem we have established demonstrated solid operational resilience. Total loan originations reached RMB57.9 billion, representing an increase of 15.9% quarter-over-quarter. This momentum was primarily driven by our non-Consumer Finance business—including Installment E-commerce, Offline Inclusive Financing, and Fintech-empowerment services—which accounted for nearly 50% of our total loan origination.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period, net income remained relatively steady quarter-over-quarter at RMB201 million. This bottom-line performance underscores the fundamental strength and diversity of our core business model. Underpinning these results, we achieved consistent improvements in asset quality by refining our risk management strategies and optimizing our product matrix.</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also continued to step up our investments in consumer rights protection and customer experience enhancements. Looking ahead, we remain fully committed to compliant operations. Leveraging our business ecosystem, we will continuously enhance our operational resilience to navigate evolving market dynamics, achieve sustainable growth, and deliver long-term returns for our shareholders."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Mr. James Zheng, Chief Financial Officer of Lexin, commented, "Building on the resilience of our business ecosystem, we have proactively optimized our business mix this quarter to focus on high-quality growth. While the strategic shift in our consumer finance business and the broader macro environment moderated our current growth, our expanding business ecosystem provided a structural buffer. In the first quarter, our total revenue was RMB3.3 billion, representing an 8.7% increase quarter-over-quarter.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With a focus on long-term sustainability, we increased our investments in ecosystem user engagement and upgraded our customer service infrastructure. We also further bolstered our financial foundation with ample provisioning. As a result, our net income stood at RMB201 million, remaining relatively stable quarter-over-quarter.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Looking ahead, while staying vigilant regarding persistent macro uncertainties, we will advance our diversified business ecosystem to ensure steady progress across market cycles and continue to deliver value to our shareholders."</w:t>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First Quarter Operational Highlights:</w:t>
      </w:r>
      <w:r>
        <w:rPr>
          <w:rFonts w:ascii="Times New Roman" w:hAnsi="Times New Roman"/>
          <w:color w:val="000000"/>
          <w:sz w:val="20"/>
        </w:rPr>
        <w:t xml:space="preserve">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User Base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Total number of registered users across our platform reached 250 million as of March 31, 2026, representing an increase of 7.6% from 232 million as of March 31, 2025.</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Number of active users</w:t>
      </w:r>
      <w:r>
        <w:rPr>
          <w:rFonts w:ascii="Times New Roman" w:hAnsi="Times New Roman"/>
          <w:color w:val="000000"/>
          <w:sz w:val="13"/>
        </w:rPr>
        <w:t>1</w:t>
      </w:r>
      <w:r>
        <w:rPr>
          <w:color w:val="000000"/>
        </w:rPr>
        <w:t xml:space="preserve"> </w:t>
      </w:r>
      <w:r>
        <w:rPr>
          <w:rFonts w:ascii="Times New Roman" w:hAnsi="Times New Roman"/>
          <w:color w:val="000000"/>
          <w:sz w:val="20"/>
        </w:rPr>
        <w:t xml:space="preserve">in the first quarter of 2026 was 5.2 million, representing an increase of 8.6% from 4.8 million in the first quarter of 2025.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Number of cumulative borrowers with successful drawdown was 38.2 million as of March 31, 2026, an increase of 10.8% from 34.5 million as of March 31, 2025.</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Loan Facilitation Business</w:t>
      </w:r>
    </w:p>
    <w:p>
      <w:pPr>
        <w:pStyle w:val="TextBody"/>
        <w:bidi w:val="0"/>
        <w:spacing w:before="240" w:after="283"/>
        <w:jc w:val="center"/>
        <w:rPr>
          <w:rFonts w:ascii="Times New Roman" w:hAnsi="Times New Roman"/>
          <w:sz w:val="20"/>
        </w:rPr>
      </w:pPr>
      <w:r>
        <w:rPr>
          <w:rFonts w:ascii="Times New Roman" w:hAnsi="Times New Roman"/>
          <w:color w:val="000000"/>
          <w:sz w:val="18"/>
        </w:rPr>
        <w:t xml:space="preserve">Page </w:t>
      </w:r>
      <w:r>
        <w:rPr>
          <w:rFonts w:ascii="Times New Roman" w:hAnsi="Times New Roman"/>
          <w:b/>
          <w:color w:val="000000"/>
          <w:sz w:val="18"/>
        </w:rPr>
        <w:t>1</w:t>
      </w:r>
      <w:r>
        <w:rPr>
          <w:rFonts w:ascii="Times New Roman" w:hAnsi="Times New Roman"/>
          <w:color w:val="000000"/>
          <w:sz w:val="20"/>
        </w:rPr>
        <w:t xml:space="preserve"> </w:t>
      </w:r>
      <w:r>
        <w:rPr>
          <w:rFonts w:ascii="Times New Roman" w:hAnsi="Times New Roman"/>
          <w:color w:val="000000"/>
          <w:sz w:val="18"/>
        </w:rPr>
        <w:t xml:space="preserve">of </w:t>
      </w:r>
      <w:r>
        <w:rPr>
          <w:rFonts w:ascii="Times New Roman" w:hAnsi="Times New Roman"/>
          <w:b/>
          <w:color w:val="000000"/>
          <w:sz w:val="18"/>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March 31, 2026, we cumulatively originated RMB1,588 billion in loans, an increase of 15.4% from RMB1,377 billion as of March 31, 2025.</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Total loan originations</w:t>
      </w:r>
      <w:r>
        <w:rPr>
          <w:rFonts w:ascii="Times New Roman" w:hAnsi="Times New Roman"/>
          <w:color w:val="000000"/>
          <w:sz w:val="13"/>
        </w:rPr>
        <w:t>2</w:t>
      </w:r>
      <w:r>
        <w:rPr>
          <w:color w:val="000000"/>
        </w:rPr>
        <w:t xml:space="preserve"> </w:t>
      </w:r>
      <w:r>
        <w:rPr>
          <w:rFonts w:ascii="Times New Roman" w:hAnsi="Times New Roman"/>
          <w:color w:val="000000"/>
          <w:sz w:val="20"/>
        </w:rPr>
        <w:t xml:space="preserve">in the first quarter of 2026 was RMB57.9 billion, an increase of 12.2% from RMB51.6 billion in the first quarter of 2025.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Total outstanding principal balance of loans</w:t>
      </w:r>
      <w:r>
        <w:rPr>
          <w:rFonts w:ascii="Times New Roman" w:hAnsi="Times New Roman"/>
          <w:color w:val="000000"/>
          <w:sz w:val="13"/>
        </w:rPr>
        <w:t>3</w:t>
      </w:r>
      <w:r>
        <w:rPr>
          <w:color w:val="000000"/>
        </w:rPr>
        <w:t xml:space="preserve"> </w:t>
      </w:r>
      <w:r>
        <w:rPr>
          <w:rFonts w:ascii="Times New Roman" w:hAnsi="Times New Roman"/>
          <w:color w:val="000000"/>
          <w:sz w:val="20"/>
        </w:rPr>
        <w:t>was RMB96.5 billion as of March 31, 2026, representing a decrease of 10.1% from RMB107 billion as of March 31, 2025.</w:t>
      </w:r>
    </w:p>
    <w:p>
      <w:pPr>
        <w:pStyle w:val="TextBody"/>
        <w:bidi w:val="0"/>
        <w:spacing w:before="160" w:after="283"/>
        <w:jc w:val="left"/>
        <w:rPr>
          <w:rFonts w:ascii="Times New Roman" w:hAnsi="Times New Roman"/>
          <w:sz w:val="20"/>
        </w:rPr>
      </w:pPr>
      <w:r>
        <w:rPr>
          <w:rFonts w:ascii="Times New Roman" w:hAnsi="Times New Roman"/>
          <w:b/>
          <w:color w:val="000000"/>
          <w:sz w:val="20"/>
        </w:rPr>
        <w:t>Credit Performance</w:t>
      </w:r>
      <w:r>
        <w:rPr>
          <w:rFonts w:ascii="Times New Roman" w:hAnsi="Times New Roman"/>
          <w:b/>
          <w:color w:val="000000"/>
          <w:sz w:val="13"/>
        </w:rPr>
        <w:t>4</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90 day+ delinquency ratio</w:t>
      </w:r>
      <w:r>
        <w:rPr>
          <w:rFonts w:ascii="Times New Roman" w:hAnsi="Times New Roman"/>
          <w:color w:val="000000"/>
          <w:sz w:val="13"/>
        </w:rPr>
        <w:t>5</w:t>
      </w:r>
      <w:r>
        <w:rPr>
          <w:color w:val="000000"/>
        </w:rPr>
        <w:t xml:space="preserve"> </w:t>
      </w:r>
      <w:r>
        <w:rPr>
          <w:rFonts w:ascii="Times New Roman" w:hAnsi="Times New Roman"/>
          <w:color w:val="000000"/>
          <w:sz w:val="20"/>
        </w:rPr>
        <w:t>was 3.5% as of March 31, 2026, as compared with 3.1% as of December 31, 2025.</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First payment default rate (30 day+) for new loan originations was below 1% as of March 31, 2026.</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Installment E-commerce Platform Service</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GMV</w:t>
      </w:r>
      <w:r>
        <w:rPr>
          <w:rFonts w:ascii="Times New Roman" w:hAnsi="Times New Roman"/>
          <w:color w:val="000000"/>
          <w:sz w:val="13"/>
        </w:rPr>
        <w:t xml:space="preserve">6 </w:t>
      </w:r>
      <w:r>
        <w:rPr>
          <w:rFonts w:ascii="Times New Roman" w:hAnsi="Times New Roman"/>
          <w:color w:val="000000"/>
          <w:sz w:val="20"/>
        </w:rPr>
        <w:t xml:space="preserve">in the first quarter of 2026 for our installment e-commerce platform service was RMB2,198 million, representing an increase of 95% from RMB1,126 million in the first quarter of 2025.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first quarter of 2026, our installment e-commerce platform service served over 600,000 users.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Other Operational Highlights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weighted average tenor of loans originated in the first quarter of 2026 was approximately 11.4 months, as compared with 13.4 months in the first quarter of 2025.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Repeated borrowers’ contribution</w:t>
      </w:r>
      <w:r>
        <w:rPr>
          <w:rFonts w:ascii="Times New Roman" w:hAnsi="Times New Roman"/>
          <w:color w:val="000000"/>
          <w:sz w:val="13"/>
        </w:rPr>
        <w:t>7</w:t>
      </w:r>
      <w:r>
        <w:rPr>
          <w:color w:val="000000"/>
        </w:rPr>
        <w:t xml:space="preserve"> </w:t>
      </w:r>
      <w:r>
        <w:rPr>
          <w:rFonts w:ascii="Times New Roman" w:hAnsi="Times New Roman"/>
          <w:color w:val="000000"/>
          <w:sz w:val="20"/>
        </w:rPr>
        <w:t xml:space="preserve">of loans across our platform for the first quarter of 2026 was 89.9%.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First Quarter 2026 Financial Highlights: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Total operating revenue was RMB3,309 million, representing an increase of 6.6% from the first quarter of 2025.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Credit facilitation service income was RMB2,232 million, representing an increase of 1.9% from the first quarter of 2025. Tech-empowerment service income was RMB553 million, representing a decrease of 11.5% from the first quarter of 2025. Installment e-commerce platform service income was RMB525 million, representing an increase of 81.9% from the first quarter of 2025.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income attributable to ordinary shareholders of the Company was RMB201 million, representing a decrease of 53.2% from the first quarter of 2025. Net income per ADS attributable to ordinary shareholders of the Company was RMB1.20 on a fully diluted basis.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Adjusted net income attributable to ordinary shareholders of the Company</w:t>
      </w:r>
      <w:r>
        <w:rPr>
          <w:rFonts w:ascii="Times New Roman" w:hAnsi="Times New Roman"/>
          <w:color w:val="000000"/>
          <w:sz w:val="13"/>
        </w:rPr>
        <w:t>8</w:t>
      </w:r>
      <w:r>
        <w:rPr>
          <w:color w:val="000000"/>
        </w:rPr>
        <w:t xml:space="preserve"> </w:t>
      </w:r>
      <w:r>
        <w:rPr>
          <w:rFonts w:ascii="Times New Roman" w:hAnsi="Times New Roman"/>
          <w:color w:val="000000"/>
          <w:sz w:val="20"/>
        </w:rPr>
        <w:t>was RMB228 million, representing a decrease of 51.6% from the first quarter of 2025. Adjusted net income per ADS attributable to ordinary shareholders of the Company</w:t>
      </w:r>
      <w:r>
        <w:rPr>
          <w:rFonts w:ascii="Times New Roman" w:hAnsi="Times New Roman"/>
          <w:color w:val="000000"/>
          <w:sz w:val="13"/>
        </w:rPr>
        <w:t>8</w:t>
      </w:r>
      <w:r>
        <w:rPr>
          <w:color w:val="000000"/>
        </w:rPr>
        <w:t xml:space="preserve"> </w:t>
      </w:r>
      <w:r>
        <w:rPr>
          <w:rFonts w:ascii="Times New Roman" w:hAnsi="Times New Roman"/>
          <w:color w:val="000000"/>
          <w:sz w:val="20"/>
        </w:rPr>
        <w:t>was RMB1.35 on a fully diluted basis.</w:t>
      </w:r>
    </w:p>
    <w:p>
      <w:pPr>
        <w:pStyle w:val="TextBody"/>
        <w:bidi w:val="0"/>
        <w:jc w:val="left"/>
        <w:rPr>
          <w:rFonts w:ascii="Times New Roman" w:hAnsi="Times New Roman"/>
          <w:color w:val="000000"/>
          <w:sz w:val="20"/>
        </w:rPr>
      </w:pPr>
      <w:r>
        <w:rPr>
          <w:rFonts w:ascii="Times New Roman" w:hAnsi="Times New Roman"/>
          <w:color w:val="000000"/>
          <w:sz w:val="20"/>
        </w:rPr>
        <w:t>__________________________</w:t>
      </w:r>
    </w:p>
    <w:p>
      <w:pPr>
        <w:pStyle w:val="TextBody"/>
        <w:bidi w:val="0"/>
        <w:spacing w:before="120" w:after="283"/>
        <w:jc w:val="left"/>
        <w:rPr>
          <w:rFonts w:ascii="Times New Roman" w:hAnsi="Times New Roman"/>
          <w:i/>
          <w:color w:val="000000"/>
          <w:sz w:val="15"/>
        </w:rPr>
      </w:pPr>
      <w:r>
        <w:rPr>
          <w:rFonts w:ascii="Times New Roman" w:hAnsi="Times New Roman"/>
          <w:i/>
          <w:color w:val="000000"/>
          <w:sz w:val="15"/>
        </w:rPr>
        <w:t>1.</w:t>
      </w:r>
    </w:p>
    <w:p>
      <w:pPr>
        <w:pStyle w:val="TextBody"/>
        <w:bidi w:val="0"/>
        <w:spacing w:before="120" w:after="283"/>
        <w:jc w:val="left"/>
        <w:rPr>
          <w:rFonts w:ascii="Times New Roman" w:hAnsi="Times New Roman"/>
          <w:i/>
          <w:color w:val="000000"/>
          <w:sz w:val="15"/>
        </w:rPr>
      </w:pPr>
      <w:r>
        <w:rPr>
          <w:rFonts w:ascii="Times New Roman" w:hAnsi="Times New Roman"/>
          <w:i/>
          <w:color w:val="000000"/>
          <w:sz w:val="15"/>
        </w:rPr>
        <w:t>Active users refer to, for a specified period, users who made at least one transaction during that period through our platform or through our third-party partners’ platforms using the credit line granted by us.</w:t>
      </w:r>
    </w:p>
    <w:p>
      <w:pPr>
        <w:pStyle w:val="TextBody"/>
        <w:bidi w:val="0"/>
        <w:spacing w:before="120" w:after="283"/>
        <w:jc w:val="left"/>
        <w:rPr>
          <w:rFonts w:ascii="Times New Roman" w:hAnsi="Times New Roman"/>
          <w:i/>
          <w:color w:val="000000"/>
          <w:sz w:val="15"/>
        </w:rPr>
      </w:pPr>
      <w:r>
        <w:rPr>
          <w:rFonts w:ascii="Times New Roman" w:hAnsi="Times New Roman"/>
          <w:i/>
          <w:color w:val="000000"/>
          <w:sz w:val="15"/>
        </w:rPr>
        <w:t>2.</w:t>
      </w:r>
    </w:p>
    <w:p>
      <w:pPr>
        <w:pStyle w:val="TextBody"/>
        <w:bidi w:val="0"/>
        <w:spacing w:before="120" w:after="283"/>
        <w:jc w:val="left"/>
        <w:rPr>
          <w:rFonts w:ascii="Times New Roman" w:hAnsi="Times New Roman"/>
          <w:i/>
          <w:color w:val="000000"/>
          <w:sz w:val="15"/>
        </w:rPr>
      </w:pPr>
      <w:r>
        <w:rPr>
          <w:rFonts w:ascii="Times New Roman" w:hAnsi="Times New Roman"/>
          <w:i/>
          <w:color w:val="000000"/>
          <w:sz w:val="15"/>
        </w:rPr>
        <w:t>Total loan originations refer to the total principal amount of loans originated during the given period through our platform or through our third-party partners' platforms.</w:t>
      </w:r>
    </w:p>
    <w:p>
      <w:pPr>
        <w:pStyle w:val="TextBody"/>
        <w:bidi w:val="0"/>
        <w:spacing w:before="120" w:after="283"/>
        <w:jc w:val="left"/>
        <w:rPr>
          <w:rFonts w:ascii="Times New Roman" w:hAnsi="Times New Roman"/>
          <w:i/>
          <w:color w:val="000000"/>
          <w:sz w:val="15"/>
        </w:rPr>
      </w:pPr>
      <w:r>
        <w:rPr>
          <w:rFonts w:ascii="Times New Roman" w:hAnsi="Times New Roman"/>
          <w:i/>
          <w:color w:val="000000"/>
          <w:sz w:val="15"/>
        </w:rPr>
        <w:t>3.</w:t>
      </w:r>
    </w:p>
    <w:p>
      <w:pPr>
        <w:pStyle w:val="TextBody"/>
        <w:bidi w:val="0"/>
        <w:spacing w:before="120" w:after="283"/>
        <w:jc w:val="left"/>
        <w:rPr>
          <w:rFonts w:ascii="Times New Roman" w:hAnsi="Times New Roman"/>
          <w:i/>
          <w:color w:val="000000"/>
          <w:sz w:val="15"/>
        </w:rPr>
      </w:pPr>
      <w:r>
        <w:rPr>
          <w:rFonts w:ascii="Times New Roman" w:hAnsi="Times New Roman"/>
          <w:i/>
          <w:color w:val="000000"/>
          <w:sz w:val="15"/>
        </w:rPr>
        <w:t>Total outstanding principal balance of loans refers to the total amount of principal outstanding for loans facilitated and originated at the end of each period, including loans guaranteed by our financial guarantee companies and the loans facilitated across third party platforms that we bear principal risk and excluding loans delinquent for more than 180 days that are charged-off.</w:t>
      </w:r>
    </w:p>
    <w:p>
      <w:pPr>
        <w:pStyle w:val="TextBody"/>
        <w:bidi w:val="0"/>
        <w:spacing w:before="120" w:after="283"/>
        <w:jc w:val="left"/>
        <w:rPr>
          <w:rFonts w:ascii="Times New Roman" w:hAnsi="Times New Roman"/>
          <w:i/>
          <w:color w:val="000000"/>
          <w:sz w:val="15"/>
        </w:rPr>
      </w:pPr>
      <w:r>
        <w:rPr>
          <w:rFonts w:ascii="Times New Roman" w:hAnsi="Times New Roman"/>
          <w:i/>
          <w:color w:val="000000"/>
          <w:sz w:val="15"/>
        </w:rPr>
        <w:t>4.</w:t>
      </w:r>
    </w:p>
    <w:p>
      <w:pPr>
        <w:pStyle w:val="TextBody"/>
        <w:bidi w:val="0"/>
        <w:spacing w:before="120" w:after="283"/>
        <w:jc w:val="left"/>
        <w:rPr>
          <w:rFonts w:ascii="Times New Roman" w:hAnsi="Times New Roman"/>
          <w:i/>
          <w:color w:val="000000"/>
          <w:sz w:val="15"/>
        </w:rPr>
      </w:pPr>
      <w:r>
        <w:rPr>
          <w:rFonts w:ascii="Times New Roman" w:hAnsi="Times New Roman"/>
          <w:i/>
          <w:color w:val="000000"/>
          <w:sz w:val="15"/>
        </w:rPr>
        <w:t>Loans under Intelligent Credit Platform are excluded from the calculation of credit performance. Intelligent Credit Platform (ICP) is an intelligent platform on our “Fenqile” app, under which we match borrowers and financial institutions through big data and cloud computing technology. For loans facilitated through ICP, the Company does not bear principal risk.</w:t>
      </w:r>
    </w:p>
    <w:p>
      <w:pPr>
        <w:pStyle w:val="TextBody"/>
        <w:bidi w:val="0"/>
        <w:spacing w:before="120" w:after="283"/>
        <w:jc w:val="left"/>
        <w:rPr>
          <w:rFonts w:ascii="Times New Roman" w:hAnsi="Times New Roman"/>
          <w:i/>
          <w:color w:val="000000"/>
          <w:sz w:val="15"/>
        </w:rPr>
      </w:pPr>
      <w:r>
        <w:rPr>
          <w:rFonts w:ascii="Times New Roman" w:hAnsi="Times New Roman"/>
          <w:i/>
          <w:color w:val="000000"/>
          <w:sz w:val="15"/>
        </w:rPr>
        <w:t>5.</w:t>
      </w:r>
    </w:p>
    <w:p>
      <w:pPr>
        <w:pStyle w:val="TextBody"/>
        <w:bidi w:val="0"/>
        <w:spacing w:before="120" w:after="283"/>
        <w:jc w:val="left"/>
        <w:rPr>
          <w:color w:val="000000"/>
        </w:rPr>
      </w:pPr>
      <w:r>
        <w:rPr>
          <w:color w:val="000000"/>
        </w:rPr>
        <w:t>“</w:t>
      </w:r>
      <w:r>
        <w:rPr>
          <w:rFonts w:ascii="Times New Roman" w:hAnsi="Times New Roman"/>
          <w:i/>
          <w:color w:val="000000"/>
          <w:sz w:val="15"/>
        </w:rPr>
        <w:t xml:space="preserve">90 day+ delinquency rate” refers to the outstanding principal balance of on- and off-balance sheet loans that were 91 to 180 calendar days past due as a percentage of the total outstanding principal balance of on- and off-balance sheet loans across our platform and those loans across third </w:t>
      </w:r>
    </w:p>
    <w:p>
      <w:pPr>
        <w:pStyle w:val="TextBody"/>
        <w:bidi w:val="0"/>
        <w:spacing w:before="240" w:after="283"/>
        <w:jc w:val="center"/>
        <w:rPr>
          <w:rFonts w:ascii="Times New Roman" w:hAnsi="Times New Roman"/>
          <w:sz w:val="20"/>
        </w:rPr>
      </w:pPr>
      <w:r>
        <w:rPr>
          <w:rFonts w:ascii="Times New Roman" w:hAnsi="Times New Roman"/>
          <w:color w:val="000000"/>
          <w:sz w:val="18"/>
        </w:rPr>
        <w:t xml:space="preserve">Page </w:t>
      </w:r>
      <w:r>
        <w:rPr>
          <w:rFonts w:ascii="Times New Roman" w:hAnsi="Times New Roman"/>
          <w:b/>
          <w:color w:val="000000"/>
          <w:sz w:val="18"/>
        </w:rPr>
        <w:t>2</w:t>
      </w:r>
      <w:r>
        <w:rPr>
          <w:rFonts w:ascii="Times New Roman" w:hAnsi="Times New Roman"/>
          <w:color w:val="000000"/>
          <w:sz w:val="20"/>
        </w:rPr>
        <w:t xml:space="preserve"> </w:t>
      </w:r>
      <w:r>
        <w:rPr>
          <w:rFonts w:ascii="Times New Roman" w:hAnsi="Times New Roman"/>
          <w:color w:val="000000"/>
          <w:sz w:val="18"/>
        </w:rPr>
        <w:t xml:space="preserve">of </w:t>
      </w:r>
      <w:r>
        <w:rPr>
          <w:rFonts w:ascii="Times New Roman" w:hAnsi="Times New Roman"/>
          <w:b/>
          <w:color w:val="000000"/>
          <w:sz w:val="18"/>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i/>
          <w:color w:val="000000"/>
          <w:sz w:val="15"/>
        </w:rPr>
      </w:pPr>
      <w:r>
        <w:rPr>
          <w:rFonts w:ascii="Times New Roman" w:hAnsi="Times New Roman"/>
          <w:i/>
          <w:color w:val="000000"/>
          <w:sz w:val="15"/>
        </w:rPr>
        <w:t>party platforms that we bear principle risk as of a specific date. Loans that are charged-off and loans under “ICP”, E-commerce business and overseas are not included in the delinquency rate calculation.</w:t>
      </w:r>
    </w:p>
    <w:p>
      <w:pPr>
        <w:pStyle w:val="TextBody"/>
        <w:bidi w:val="0"/>
        <w:spacing w:before="120" w:after="283"/>
        <w:jc w:val="left"/>
        <w:rPr>
          <w:rFonts w:ascii="Times New Roman" w:hAnsi="Times New Roman"/>
          <w:i/>
          <w:color w:val="000000"/>
          <w:sz w:val="15"/>
        </w:rPr>
      </w:pPr>
      <w:r>
        <w:rPr>
          <w:rFonts w:ascii="Times New Roman" w:hAnsi="Times New Roman"/>
          <w:i/>
          <w:color w:val="000000"/>
          <w:sz w:val="15"/>
        </w:rPr>
        <w:t>6.</w:t>
      </w:r>
    </w:p>
    <w:p>
      <w:pPr>
        <w:pStyle w:val="TextBody"/>
        <w:bidi w:val="0"/>
        <w:spacing w:before="120" w:after="283"/>
        <w:jc w:val="left"/>
        <w:rPr>
          <w:rFonts w:ascii="Times New Roman" w:hAnsi="Times New Roman"/>
          <w:i/>
          <w:color w:val="000000"/>
          <w:sz w:val="15"/>
        </w:rPr>
      </w:pPr>
      <w:r>
        <w:rPr>
          <w:rFonts w:ascii="Times New Roman" w:hAnsi="Times New Roman"/>
          <w:i/>
          <w:color w:val="000000"/>
          <w:sz w:val="15"/>
        </w:rPr>
        <w:t>GMV refers to the total value of transactions completed for products purchased on our e-commerce and Maiya channel, net of returns.</w:t>
      </w:r>
    </w:p>
    <w:p>
      <w:pPr>
        <w:pStyle w:val="TextBody"/>
        <w:bidi w:val="0"/>
        <w:spacing w:before="120" w:after="283"/>
        <w:jc w:val="left"/>
        <w:rPr>
          <w:rFonts w:ascii="Times New Roman" w:hAnsi="Times New Roman"/>
          <w:i/>
          <w:color w:val="000000"/>
          <w:sz w:val="15"/>
        </w:rPr>
      </w:pPr>
      <w:r>
        <w:rPr>
          <w:rFonts w:ascii="Times New Roman" w:hAnsi="Times New Roman"/>
          <w:i/>
          <w:color w:val="000000"/>
          <w:sz w:val="15"/>
        </w:rPr>
        <w:t>7.</w:t>
      </w:r>
    </w:p>
    <w:p>
      <w:pPr>
        <w:pStyle w:val="TextBody"/>
        <w:bidi w:val="0"/>
        <w:spacing w:before="120" w:after="283"/>
        <w:jc w:val="left"/>
        <w:rPr>
          <w:rFonts w:ascii="Times New Roman" w:hAnsi="Times New Roman"/>
          <w:i/>
          <w:color w:val="000000"/>
          <w:sz w:val="15"/>
        </w:rPr>
      </w:pPr>
      <w:r>
        <w:rPr>
          <w:rFonts w:ascii="Times New Roman" w:hAnsi="Times New Roman"/>
          <w:i/>
          <w:color w:val="000000"/>
          <w:sz w:val="15"/>
        </w:rPr>
        <w:t>Repeated borrowers’ contribution for a given period refers to the principal amount of loans borrowed during that period by borrowers who had previously made at least one successful drawdown as a percentage of the total loan facilitation and origination volume through our platform during that period.</w:t>
      </w:r>
    </w:p>
    <w:p>
      <w:pPr>
        <w:pStyle w:val="TextBody"/>
        <w:bidi w:val="0"/>
        <w:spacing w:before="120" w:after="283"/>
        <w:jc w:val="left"/>
        <w:rPr>
          <w:rFonts w:ascii="Times New Roman" w:hAnsi="Times New Roman"/>
          <w:i/>
          <w:color w:val="000000"/>
          <w:sz w:val="15"/>
        </w:rPr>
      </w:pPr>
      <w:r>
        <w:rPr>
          <w:rFonts w:ascii="Times New Roman" w:hAnsi="Times New Roman"/>
          <w:i/>
          <w:color w:val="000000"/>
          <w:sz w:val="15"/>
        </w:rPr>
        <w:t>8.</w:t>
      </w:r>
    </w:p>
    <w:p>
      <w:pPr>
        <w:pStyle w:val="TextBody"/>
        <w:bidi w:val="0"/>
        <w:spacing w:before="120" w:after="283"/>
        <w:jc w:val="left"/>
        <w:rPr>
          <w:rFonts w:ascii="Times New Roman" w:hAnsi="Times New Roman"/>
          <w:i/>
          <w:color w:val="000000"/>
          <w:sz w:val="15"/>
        </w:rPr>
      </w:pPr>
      <w:r>
        <w:rPr>
          <w:rFonts w:ascii="Times New Roman" w:hAnsi="Times New Roman"/>
          <w:i/>
          <w:color w:val="000000"/>
          <w:sz w:val="15"/>
        </w:rPr>
        <w:t>Adjusted net income attributable to ordinary shareholders of the Company, adjusted net income per ordinary share and per ADS attributable to ordinary shareholders of the Company are non-GAAP financial measures. For more information on non-GAAP financial measures, please see the section of “Use of Non-GAAP Financial Measures Statement” and the tables captioned “Unaudited Reconciliations of GAAP and Non-GAAP Results” set forth at the end of this press release.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First Quarter 2026 Financial Results:</w:t>
      </w:r>
    </w:p>
    <w:p>
      <w:pPr>
        <w:pStyle w:val="TextBody"/>
        <w:bidi w:val="0"/>
        <w:spacing w:before="120" w:after="283"/>
        <w:jc w:val="left"/>
        <w:rPr>
          <w:rFonts w:ascii="Times New Roman" w:hAnsi="Times New Roman"/>
          <w:sz w:val="20"/>
        </w:rPr>
      </w:pPr>
      <w:r>
        <w:rPr>
          <w:rFonts w:ascii="Times New Roman" w:hAnsi="Times New Roman"/>
          <w:b/>
          <w:color w:val="000000"/>
          <w:sz w:val="20"/>
        </w:rPr>
        <w:t>Operating revenue</w:t>
      </w:r>
      <w:r>
        <w:rPr>
          <w:rFonts w:ascii="Times New Roman" w:hAnsi="Times New Roman"/>
          <w:color w:val="000000"/>
          <w:sz w:val="20"/>
        </w:rPr>
        <w:t xml:space="preserve"> was RMB3,309 million in the first quarter of 2026, as compared to RMB3,104 million in the first quarter of 2025.</w:t>
      </w:r>
    </w:p>
    <w:p>
      <w:pPr>
        <w:pStyle w:val="TextBody"/>
        <w:bidi w:val="0"/>
        <w:spacing w:before="240" w:after="283"/>
        <w:jc w:val="left"/>
        <w:rPr>
          <w:rFonts w:ascii="Times New Roman" w:hAnsi="Times New Roman"/>
          <w:sz w:val="20"/>
        </w:rPr>
      </w:pPr>
      <w:r>
        <w:rPr>
          <w:rFonts w:ascii="Times New Roman" w:hAnsi="Times New Roman"/>
          <w:b/>
          <w:color w:val="000000"/>
          <w:sz w:val="20"/>
        </w:rPr>
        <w:t>Credit facilitation service income</w:t>
      </w:r>
      <w:r>
        <w:rPr>
          <w:rFonts w:ascii="Times New Roman" w:hAnsi="Times New Roman"/>
          <w:color w:val="000000"/>
          <w:sz w:val="20"/>
        </w:rPr>
        <w:t xml:space="preserve"> was RMB2,232 million in the first quarter of 2026, as compared to RMB2,191 million in the first quarter of 2025. The increase was due to the increase in guarantee income.</w:t>
      </w:r>
    </w:p>
    <w:p>
      <w:pPr>
        <w:pStyle w:val="TextBody"/>
        <w:bidi w:val="0"/>
        <w:spacing w:before="240" w:after="283"/>
        <w:jc w:val="left"/>
        <w:rPr>
          <w:rFonts w:ascii="Times New Roman" w:hAnsi="Times New Roman"/>
          <w:sz w:val="20"/>
        </w:rPr>
      </w:pPr>
      <w:r>
        <w:rPr>
          <w:rFonts w:ascii="Times New Roman" w:hAnsi="Times New Roman"/>
          <w:i/>
          <w:color w:val="000000"/>
          <w:sz w:val="20"/>
        </w:rPr>
        <w:t>Loan facilitation and servicing fees-credit oriented</w:t>
      </w:r>
      <w:r>
        <w:rPr>
          <w:rFonts w:ascii="Times New Roman" w:hAnsi="Times New Roman"/>
          <w:color w:val="000000"/>
          <w:sz w:val="20"/>
        </w:rPr>
        <w:t xml:space="preserve"> was RMB1,038 million in the first quarter of 2026, as compared to RMB1,136 million in the first quarter of 2025. The decrease was primarily due to the decrease in the APR of off-balance sheet loans and the decrease in origination of off-balance sheet loans.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Guarantee income</w:t>
      </w:r>
      <w:r>
        <w:rPr>
          <w:rFonts w:ascii="Times New Roman" w:hAnsi="Times New Roman"/>
          <w:color w:val="000000"/>
          <w:sz w:val="20"/>
        </w:rPr>
        <w:t xml:space="preserve"> was RMB727 million in the first quarter of 2026, as compared to RMB548 million in the first quarter of 2025. The increase was primarily due to the increase of outstanding balances in the off-balance sheet loans funded by certain institutional funding partners, which are accounted for under ASC 460, Guarantees.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Financing income</w:t>
      </w:r>
      <w:r>
        <w:rPr>
          <w:rFonts w:ascii="Times New Roman" w:hAnsi="Times New Roman"/>
          <w:color w:val="000000"/>
          <w:sz w:val="20"/>
        </w:rPr>
        <w:t xml:space="preserve"> was RMB467 million in the first quarter of 2026, as compared to RMB507 million in the first quarter of 2025.</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Tech-empowerment service income</w:t>
      </w:r>
      <w:r>
        <w:rPr>
          <w:rFonts w:ascii="Times New Roman" w:hAnsi="Times New Roman"/>
          <w:color w:val="000000"/>
          <w:sz w:val="20"/>
        </w:rPr>
        <w:t xml:space="preserve"> was RMB553 million in the first quarter of 2026, as compared to RMB625 million in the first quarter of 2025. The decrease was primarily due to the decrease of loan facilitation volume through ICP.</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Installment e-commerce platform service income</w:t>
      </w:r>
      <w:r>
        <w:rPr>
          <w:rFonts w:ascii="Times New Roman" w:hAnsi="Times New Roman"/>
          <w:color w:val="000000"/>
          <w:sz w:val="20"/>
        </w:rPr>
        <w:t xml:space="preserve"> was RMB525 million in the first quarter of 2026, as compared to RMB288 million in the first quarter of 2025. The increase was primarily driven by the increase in transaction volume with third-party sellers.</w:t>
      </w:r>
    </w:p>
    <w:p>
      <w:pPr>
        <w:pStyle w:val="TextBody"/>
        <w:bidi w:val="0"/>
        <w:spacing w:before="240" w:after="120"/>
        <w:jc w:val="left"/>
        <w:rPr>
          <w:rFonts w:ascii="Times New Roman" w:hAnsi="Times New Roman"/>
          <w:sz w:val="20"/>
        </w:rPr>
      </w:pPr>
      <w:r>
        <w:rPr>
          <w:rFonts w:ascii="Times New Roman" w:hAnsi="Times New Roman"/>
          <w:b/>
          <w:color w:val="000000"/>
          <w:sz w:val="20"/>
        </w:rPr>
        <w:t>Cost of sales</w:t>
      </w:r>
      <w:r>
        <w:rPr>
          <w:rFonts w:ascii="Times New Roman" w:hAnsi="Times New Roman"/>
          <w:color w:val="000000"/>
          <w:sz w:val="20"/>
        </w:rPr>
        <w:t xml:space="preserve"> consisted of cost of inventory sold and other costs. Cost of sales was RMB349 million in the first quarter of 2026, as compared to RMB262 million in the first quarter of 2025. The increase was primarily driven by the increase in transaction volume of online direct sales which is recorded on a gross basis.</w:t>
      </w:r>
    </w:p>
    <w:p>
      <w:pPr>
        <w:pStyle w:val="TextBody"/>
        <w:bidi w:val="0"/>
        <w:spacing w:before="120" w:after="120"/>
        <w:jc w:val="left"/>
        <w:rPr>
          <w:rFonts w:ascii="Times New Roman" w:hAnsi="Times New Roman"/>
          <w:sz w:val="20"/>
        </w:rPr>
      </w:pPr>
      <w:r>
        <w:rPr>
          <w:rFonts w:ascii="Times New Roman" w:hAnsi="Times New Roman"/>
          <w:b/>
          <w:color w:val="000000"/>
          <w:sz w:val="20"/>
        </w:rPr>
        <w:t xml:space="preserve">Funding cost </w:t>
      </w:r>
      <w:r>
        <w:rPr>
          <w:rFonts w:ascii="Times New Roman" w:hAnsi="Times New Roman"/>
          <w:color w:val="000000"/>
          <w:sz w:val="20"/>
        </w:rPr>
        <w:t>was RMB55.6 million in the first quarter of 2026, as compared to RMB83.0 million in the first quarter of 2025. The decrease was primarily driven by the decrease in funding rates and balance of funding debts to fund the on-balance sheet loans.</w:t>
      </w:r>
    </w:p>
    <w:p>
      <w:pPr>
        <w:pStyle w:val="TextBody"/>
        <w:bidi w:val="0"/>
        <w:spacing w:before="120" w:after="283"/>
        <w:jc w:val="left"/>
        <w:rPr>
          <w:rFonts w:ascii="Times New Roman" w:hAnsi="Times New Roman"/>
          <w:sz w:val="20"/>
        </w:rPr>
      </w:pPr>
      <w:r>
        <w:rPr>
          <w:rFonts w:ascii="Times New Roman" w:hAnsi="Times New Roman"/>
          <w:b/>
          <w:color w:val="000000"/>
          <w:sz w:val="20"/>
        </w:rPr>
        <w:t>Processing and servicing costs</w:t>
      </w:r>
      <w:r>
        <w:rPr>
          <w:rFonts w:ascii="Times New Roman" w:hAnsi="Times New Roman"/>
          <w:color w:val="000000"/>
          <w:sz w:val="20"/>
        </w:rPr>
        <w:t xml:space="preserve"> was RMB634 million in the first quarter of 2026, as compared to RMB551 million in the first quarter of 2025.The increase was primarily due to the increase in risk management expenses.</w:t>
      </w:r>
    </w:p>
    <w:p>
      <w:pPr>
        <w:pStyle w:val="TextBody"/>
        <w:bidi w:val="0"/>
        <w:spacing w:before="240" w:after="283"/>
        <w:jc w:val="left"/>
        <w:rPr>
          <w:rFonts w:ascii="Times New Roman" w:hAnsi="Times New Roman"/>
          <w:sz w:val="20"/>
        </w:rPr>
      </w:pPr>
      <w:r>
        <w:rPr>
          <w:rFonts w:ascii="Times New Roman" w:hAnsi="Times New Roman"/>
          <w:b/>
          <w:color w:val="000000"/>
          <w:sz w:val="20"/>
        </w:rPr>
        <w:t>Provision for financing receivables</w:t>
      </w:r>
      <w:r>
        <w:rPr>
          <w:rFonts w:ascii="Times New Roman" w:hAnsi="Times New Roman"/>
          <w:color w:val="000000"/>
          <w:sz w:val="20"/>
        </w:rPr>
        <w:t xml:space="preserve"> was RMB341 million in the first quarter of 2026, as compared to RMB182 million in the first quarter of 2025. The increase was primarily due to the changes in loan portfolio of on balance sheet loans.</w:t>
      </w:r>
    </w:p>
    <w:p>
      <w:pPr>
        <w:pStyle w:val="TextBody"/>
        <w:bidi w:val="0"/>
        <w:spacing w:before="240" w:after="283"/>
        <w:jc w:val="left"/>
        <w:rPr>
          <w:rFonts w:ascii="Times New Roman" w:hAnsi="Times New Roman"/>
          <w:sz w:val="20"/>
        </w:rPr>
      </w:pPr>
      <w:r>
        <w:rPr>
          <w:rFonts w:ascii="Times New Roman" w:hAnsi="Times New Roman"/>
          <w:b/>
          <w:color w:val="000000"/>
          <w:sz w:val="20"/>
        </w:rPr>
        <w:t>Provision for contract assets and receivables</w:t>
      </w:r>
      <w:r>
        <w:rPr>
          <w:rFonts w:ascii="Times New Roman" w:hAnsi="Times New Roman"/>
          <w:color w:val="000000"/>
          <w:sz w:val="20"/>
        </w:rPr>
        <w:t xml:space="preserve"> was RMB137 million in the first quarter of 2026, as compared to RMB130 million in the first quarter of 2025. </w:t>
      </w:r>
    </w:p>
    <w:p>
      <w:pPr>
        <w:pStyle w:val="TextBody"/>
        <w:bidi w:val="0"/>
        <w:spacing w:before="240" w:after="283"/>
        <w:jc w:val="center"/>
        <w:rPr>
          <w:rFonts w:ascii="Times New Roman" w:hAnsi="Times New Roman"/>
          <w:sz w:val="20"/>
        </w:rPr>
      </w:pPr>
      <w:r>
        <w:rPr>
          <w:rFonts w:ascii="Times New Roman" w:hAnsi="Times New Roman"/>
          <w:color w:val="000000"/>
          <w:sz w:val="18"/>
        </w:rPr>
        <w:t xml:space="preserve">Page </w:t>
      </w:r>
      <w:r>
        <w:rPr>
          <w:rFonts w:ascii="Times New Roman" w:hAnsi="Times New Roman"/>
          <w:b/>
          <w:color w:val="000000"/>
          <w:sz w:val="18"/>
        </w:rPr>
        <w:t>3</w:t>
      </w:r>
      <w:r>
        <w:rPr>
          <w:rFonts w:ascii="Times New Roman" w:hAnsi="Times New Roman"/>
          <w:color w:val="000000"/>
          <w:sz w:val="20"/>
        </w:rPr>
        <w:t xml:space="preserve"> </w:t>
      </w:r>
      <w:r>
        <w:rPr>
          <w:rFonts w:ascii="Times New Roman" w:hAnsi="Times New Roman"/>
          <w:color w:val="000000"/>
          <w:sz w:val="18"/>
        </w:rPr>
        <w:t xml:space="preserve">of </w:t>
      </w:r>
      <w:r>
        <w:rPr>
          <w:rFonts w:ascii="Times New Roman" w:hAnsi="Times New Roman"/>
          <w:b/>
          <w:color w:val="000000"/>
          <w:sz w:val="18"/>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Provision for contingent guarantee liabilities</w:t>
      </w:r>
      <w:r>
        <w:rPr>
          <w:rFonts w:ascii="Times New Roman" w:hAnsi="Times New Roman"/>
          <w:color w:val="000000"/>
          <w:sz w:val="20"/>
        </w:rPr>
        <w:t xml:space="preserve"> was RMB959 million in the first quarter of 2026, as compared to RMB677 million in the first quarter of 2025. The increase was primarily due to the increase of outstanding balances in the off-balance sheet loans funded by certain institutional funding partners, which are accounted for under ASC 460, Guarantees.</w:t>
      </w:r>
    </w:p>
    <w:p>
      <w:pPr>
        <w:pStyle w:val="TextBody"/>
        <w:bidi w:val="0"/>
        <w:spacing w:before="240" w:after="283"/>
        <w:jc w:val="left"/>
        <w:rPr>
          <w:rFonts w:ascii="Times New Roman" w:hAnsi="Times New Roman"/>
          <w:sz w:val="20"/>
        </w:rPr>
      </w:pPr>
      <w:r>
        <w:rPr>
          <w:rFonts w:ascii="Times New Roman" w:hAnsi="Times New Roman"/>
          <w:b/>
          <w:color w:val="000000"/>
          <w:sz w:val="20"/>
        </w:rPr>
        <w:t>Gross profit</w:t>
      </w:r>
      <w:r>
        <w:rPr>
          <w:rFonts w:ascii="Times New Roman" w:hAnsi="Times New Roman"/>
          <w:color w:val="000000"/>
          <w:sz w:val="20"/>
        </w:rPr>
        <w:t xml:space="preserve"> was RMB835 million in the first quarter of 2026, as compared to RMB1,219 million in the first quarter of 2025. </w:t>
      </w:r>
    </w:p>
    <w:p>
      <w:pPr>
        <w:pStyle w:val="TextBody"/>
        <w:bidi w:val="0"/>
        <w:spacing w:before="240" w:after="283"/>
        <w:jc w:val="left"/>
        <w:rPr>
          <w:rFonts w:ascii="Times New Roman" w:hAnsi="Times New Roman"/>
          <w:sz w:val="20"/>
        </w:rPr>
      </w:pPr>
      <w:r>
        <w:rPr>
          <w:rFonts w:ascii="Times New Roman" w:hAnsi="Times New Roman"/>
          <w:b/>
          <w:color w:val="000000"/>
          <w:sz w:val="20"/>
        </w:rPr>
        <w:t>Sales and marketing expenses</w:t>
      </w:r>
      <w:r>
        <w:rPr>
          <w:rFonts w:ascii="Times New Roman" w:hAnsi="Times New Roman"/>
          <w:color w:val="000000"/>
          <w:sz w:val="20"/>
        </w:rPr>
        <w:t xml:space="preserve"> was RMB512 million in the first quarter of 2026, as compared to RMB493 million in the first quarter of 2025. The increase was primarily driven by the increase in personnel-related costs.</w:t>
      </w:r>
    </w:p>
    <w:p>
      <w:pPr>
        <w:pStyle w:val="TextBody"/>
        <w:bidi w:val="0"/>
        <w:spacing w:before="240" w:after="283"/>
        <w:jc w:val="left"/>
        <w:rPr>
          <w:rFonts w:ascii="Times New Roman" w:hAnsi="Times New Roman"/>
          <w:sz w:val="20"/>
        </w:rPr>
      </w:pPr>
      <w:r>
        <w:rPr>
          <w:rFonts w:ascii="Times New Roman" w:hAnsi="Times New Roman"/>
          <w:b/>
          <w:color w:val="000000"/>
          <w:sz w:val="20"/>
        </w:rPr>
        <w:t>Research and development expenses</w:t>
      </w:r>
      <w:r>
        <w:rPr>
          <w:rFonts w:ascii="Times New Roman" w:hAnsi="Times New Roman"/>
          <w:color w:val="000000"/>
          <w:sz w:val="20"/>
        </w:rPr>
        <w:t xml:space="preserve"> was RMB148 million in the first quarter of 2026, as compared to RMB156 million in the first quarter of 2025. </w:t>
      </w:r>
    </w:p>
    <w:p>
      <w:pPr>
        <w:pStyle w:val="TextBody"/>
        <w:bidi w:val="0"/>
        <w:spacing w:before="240" w:after="283"/>
        <w:jc w:val="left"/>
        <w:rPr>
          <w:rFonts w:ascii="Times New Roman" w:hAnsi="Times New Roman"/>
          <w:sz w:val="20"/>
        </w:rPr>
      </w:pPr>
      <w:r>
        <w:rPr>
          <w:rFonts w:ascii="Times New Roman" w:hAnsi="Times New Roman"/>
          <w:b/>
          <w:color w:val="000000"/>
          <w:sz w:val="20"/>
        </w:rPr>
        <w:t>General and administrative expenses</w:t>
      </w:r>
      <w:r>
        <w:rPr>
          <w:rFonts w:ascii="Times New Roman" w:hAnsi="Times New Roman"/>
          <w:color w:val="000000"/>
          <w:sz w:val="20"/>
        </w:rPr>
        <w:t xml:space="preserve"> was RMB97.5 million in the first quarter of 2026, as compared to RMB101 million in the first quarter of 2025. </w:t>
      </w:r>
    </w:p>
    <w:p>
      <w:pPr>
        <w:pStyle w:val="TextBody"/>
        <w:bidi w:val="0"/>
        <w:spacing w:before="240" w:after="283"/>
        <w:jc w:val="left"/>
        <w:rPr>
          <w:rFonts w:ascii="Times New Roman" w:hAnsi="Times New Roman"/>
          <w:sz w:val="20"/>
        </w:rPr>
      </w:pPr>
      <w:r>
        <w:rPr>
          <w:rFonts w:ascii="Times New Roman" w:hAnsi="Times New Roman"/>
          <w:b/>
          <w:color w:val="000000"/>
          <w:sz w:val="20"/>
        </w:rPr>
        <w:t xml:space="preserve">Change in fair value of financial guarantee derivatives and loans at fair value </w:t>
      </w:r>
      <w:r>
        <w:rPr>
          <w:rFonts w:ascii="Times New Roman" w:hAnsi="Times New Roman"/>
          <w:color w:val="000000"/>
          <w:sz w:val="20"/>
        </w:rPr>
        <w:t>was a gain of RMB161 million in the first quarter of 2026, as compared to a gain of RMB74.6 million in the first quarter of 2025. The change was primarily driven by the fair value gains realized as a result of the release of guarantee obligation as loans are repaid, partially offset by the fair value loss from the re-measurement of the expected loss rates.</w:t>
      </w:r>
    </w:p>
    <w:p>
      <w:pPr>
        <w:pStyle w:val="TextBody"/>
        <w:bidi w:val="0"/>
        <w:spacing w:before="240" w:after="283"/>
        <w:jc w:val="left"/>
        <w:rPr>
          <w:rFonts w:ascii="Times New Roman" w:hAnsi="Times New Roman"/>
          <w:sz w:val="20"/>
        </w:rPr>
      </w:pPr>
      <w:r>
        <w:rPr>
          <w:rFonts w:ascii="Times New Roman" w:hAnsi="Times New Roman"/>
          <w:b/>
          <w:color w:val="000000"/>
          <w:sz w:val="20"/>
        </w:rPr>
        <w:t xml:space="preserve">Income tax expense </w:t>
      </w:r>
      <w:r>
        <w:rPr>
          <w:rFonts w:ascii="Times New Roman" w:hAnsi="Times New Roman"/>
          <w:color w:val="000000"/>
          <w:sz w:val="20"/>
        </w:rPr>
        <w:t>was RMB68.0 million in the first quarter of 2026, as compared to RMB101 million in the first quarter of 2025. The decrease was primarily due to the decrease in income before income tax expense.</w:t>
      </w:r>
    </w:p>
    <w:p>
      <w:pPr>
        <w:pStyle w:val="TextBody"/>
        <w:bidi w:val="0"/>
        <w:spacing w:before="240" w:after="283"/>
        <w:jc w:val="left"/>
        <w:rPr>
          <w:rFonts w:ascii="Times New Roman" w:hAnsi="Times New Roman"/>
          <w:sz w:val="20"/>
        </w:rPr>
      </w:pPr>
      <w:r>
        <w:rPr>
          <w:rFonts w:ascii="Times New Roman" w:hAnsi="Times New Roman"/>
          <w:b/>
          <w:color w:val="000000"/>
          <w:sz w:val="20"/>
        </w:rPr>
        <w:t>Net income</w:t>
      </w:r>
      <w:r>
        <w:rPr>
          <w:rFonts w:ascii="Times New Roman" w:hAnsi="Times New Roman"/>
          <w:color w:val="000000"/>
          <w:sz w:val="20"/>
        </w:rPr>
        <w:t xml:space="preserve"> was RMB201 million in the first quarter of 2026, as compared to RMB430 million in the first quarter of 2025.</w:t>
      </w:r>
    </w:p>
    <w:p>
      <w:pPr>
        <w:pStyle w:val="TextBody"/>
        <w:bidi w:val="0"/>
        <w:spacing w:before="360" w:after="283"/>
        <w:jc w:val="left"/>
        <w:rPr/>
      </w:pPr>
      <w:r>
        <w:rPr/>
        <w:t> </w:t>
      </w:r>
    </w:p>
    <w:p>
      <w:pPr>
        <w:pStyle w:val="TextBody"/>
        <w:bidi w:val="0"/>
        <w:jc w:val="left"/>
        <w:rPr/>
      </w:pPr>
      <w:r>
        <w:rPr/>
        <w:t> </w:t>
      </w:r>
    </w:p>
    <w:p>
      <w:pPr>
        <w:pStyle w:val="TextBody"/>
        <w:bidi w:val="0"/>
        <w:spacing w:before="240" w:after="283"/>
        <w:jc w:val="center"/>
        <w:rPr>
          <w:rFonts w:ascii="Times New Roman" w:hAnsi="Times New Roman"/>
          <w:sz w:val="20"/>
        </w:rPr>
      </w:pPr>
      <w:r>
        <w:rPr>
          <w:rFonts w:ascii="Times New Roman" w:hAnsi="Times New Roman"/>
          <w:color w:val="000000"/>
          <w:sz w:val="18"/>
        </w:rPr>
        <w:t xml:space="preserve">Page </w:t>
      </w:r>
      <w:r>
        <w:rPr>
          <w:rFonts w:ascii="Times New Roman" w:hAnsi="Times New Roman"/>
          <w:b/>
          <w:color w:val="000000"/>
          <w:sz w:val="18"/>
        </w:rPr>
        <w:t>4</w:t>
      </w:r>
      <w:r>
        <w:rPr>
          <w:rFonts w:ascii="Times New Roman" w:hAnsi="Times New Roman"/>
          <w:color w:val="000000"/>
          <w:sz w:val="20"/>
        </w:rPr>
        <w:t xml:space="preserve"> </w:t>
      </w:r>
      <w:r>
        <w:rPr>
          <w:rFonts w:ascii="Times New Roman" w:hAnsi="Times New Roman"/>
          <w:color w:val="000000"/>
          <w:sz w:val="18"/>
        </w:rPr>
        <w:t xml:space="preserve">of </w:t>
      </w:r>
      <w:r>
        <w:rPr>
          <w:rFonts w:ascii="Times New Roman" w:hAnsi="Times New Roman"/>
          <w:b/>
          <w:color w:val="000000"/>
          <w:sz w:val="18"/>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b/>
          <w:color w:val="000000"/>
          <w:sz w:val="20"/>
        </w:rPr>
      </w:pPr>
      <w:r>
        <w:rPr>
          <w:rFonts w:ascii="Times New Roman" w:hAnsi="Times New Roman"/>
          <w:b/>
          <w:color w:val="000000"/>
          <w:sz w:val="20"/>
        </w:rPr>
        <w:t>Recent Development</w:t>
      </w:r>
    </w:p>
    <w:p>
      <w:pPr>
        <w:pStyle w:val="TextBody"/>
        <w:bidi w:val="0"/>
        <w:spacing w:before="0" w:after="120"/>
        <w:jc w:val="left"/>
        <w:rPr/>
      </w:pPr>
      <w:r>
        <w:rPr/>
        <w:t> </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Update of Share Repurchase Program</w:t>
      </w:r>
    </w:p>
    <w:p>
      <w:pPr>
        <w:pStyle w:val="TextBody"/>
        <w:bidi w:val="0"/>
        <w:jc w:val="left"/>
        <w:rPr>
          <w:rFonts w:ascii="Times New Roman" w:hAnsi="Times New Roman"/>
          <w:color w:val="000000"/>
          <w:sz w:val="20"/>
        </w:rPr>
      </w:pPr>
      <w:r>
        <w:rPr>
          <w:rFonts w:ascii="Times New Roman" w:hAnsi="Times New Roman"/>
          <w:color w:val="000000"/>
          <w:sz w:val="20"/>
        </w:rPr>
        <w:t>Pursuant to the share repurchase program of up to US$50 million adopted in July 2025, the Company repurchased a total of approximately 9.6 million ADSs (equivalent to 19.2 million Class A ordinary shares) for approximately US$39 million. The remaining amount under the share repurchase program was US$11 million as of the date of this announcement. The total number of shares repurchased by the Company since the adoption of the share repurchase program amounted to approximately 5.9% of its total ordinary shares outstanding as of March 31, 2026.</w:t>
      </w:r>
    </w:p>
    <w:p>
      <w:pPr>
        <w:pStyle w:val="TextBody"/>
        <w:bidi w:val="0"/>
        <w:jc w:val="left"/>
        <w:rPr/>
      </w:pPr>
      <w:r>
        <w:rPr/>
        <w:t> </w:t>
      </w:r>
    </w:p>
    <w:p>
      <w:pPr>
        <w:pStyle w:val="TextBody"/>
        <w:bidi w:val="0"/>
        <w:spacing w:before="120" w:after="120"/>
        <w:jc w:val="left"/>
        <w:rPr>
          <w:rFonts w:ascii="Times New Roman" w:hAnsi="Times New Roman"/>
          <w:b/>
          <w:color w:val="000000"/>
          <w:sz w:val="20"/>
        </w:rPr>
      </w:pPr>
      <w:r>
        <w:rPr>
          <w:rFonts w:ascii="Times New Roman" w:hAnsi="Times New Roman"/>
          <w:b/>
          <w:color w:val="000000"/>
          <w:sz w:val="20"/>
        </w:rPr>
        <w:t>Business Outlook</w:t>
      </w:r>
    </w:p>
    <w:p>
      <w:pPr>
        <w:pStyle w:val="TextBody"/>
        <w:bidi w:val="0"/>
        <w:jc w:val="left"/>
        <w:rPr>
          <w:rFonts w:ascii="Times New Roman" w:hAnsi="Times New Roman"/>
          <w:color w:val="000000"/>
          <w:sz w:val="20"/>
        </w:rPr>
      </w:pPr>
      <w:r>
        <w:rPr>
          <w:rFonts w:ascii="Times New Roman" w:hAnsi="Times New Roman"/>
          <w:color w:val="000000"/>
          <w:sz w:val="20"/>
        </w:rPr>
        <w:t>Looking ahead, while our risk metrics continue to improve, we remain prudent in light of ongoing macroeconomic uncertainties and expect total loan origination for the second quarter of 2026 to remain relatively flat.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forecast reflects our current preliminary views, which are subject to the impact of macroeconomic factors. The Company may adjust its performance outlook as appropriate based on evolving circumstances.</w:t>
      </w:r>
    </w:p>
    <w:p>
      <w:pPr>
        <w:pStyle w:val="TextBody"/>
        <w:bidi w:val="0"/>
        <w:spacing w:before="120" w:after="120"/>
        <w:jc w:val="left"/>
        <w:rPr>
          <w:rFonts w:ascii="Times New Roman" w:hAnsi="Times New Roman"/>
          <w:b/>
          <w:color w:val="000000"/>
          <w:sz w:val="20"/>
        </w:rPr>
      </w:pPr>
      <w:r>
        <w:rPr>
          <w:rFonts w:ascii="Times New Roman" w:hAnsi="Times New Roman"/>
          <w:b/>
          <w:color w:val="000000"/>
          <w:sz w:val="20"/>
        </w:rPr>
        <w:t>Conference Call</w:t>
      </w:r>
    </w:p>
    <w:p>
      <w:pPr>
        <w:pStyle w:val="TextBody"/>
        <w:bidi w:val="0"/>
        <w:jc w:val="left"/>
        <w:rPr>
          <w:rFonts w:ascii="Times New Roman" w:hAnsi="Times New Roman"/>
          <w:color w:val="000000"/>
          <w:sz w:val="20"/>
        </w:rPr>
      </w:pPr>
      <w:r>
        <w:rPr>
          <w:rFonts w:ascii="Times New Roman" w:hAnsi="Times New Roman"/>
          <w:color w:val="000000"/>
          <w:sz w:val="20"/>
        </w:rPr>
        <w:t>The Company’s management will host an earnings conference call at 7:00 AM U.S. Eastern time on May 25, 2026 (7:00 PM Beijing/Hong Kong time on May 25,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Participants who wish to join the conference call should register online at:</w:t>
      </w:r>
    </w:p>
    <w:p>
      <w:pPr>
        <w:pStyle w:val="TextBody"/>
        <w:bidi w:val="0"/>
        <w:spacing w:before="120" w:after="283"/>
        <w:jc w:val="left"/>
        <w:rPr>
          <w:rFonts w:ascii="Times New Roman" w:hAnsi="Times New Roman"/>
          <w:sz w:val="20"/>
        </w:rPr>
      </w:pPr>
      <w:r>
        <w:rPr>
          <w:rFonts w:ascii="Times New Roman" w:hAnsi="Times New Roman"/>
          <w:sz w:val="20"/>
        </w:rPr>
        <w:t>https://register-conf.media-server.com/register/BIdbf6538c90c542929a234504dca02fbc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Once registration is completed, each participant will receive the dial-in number and a unique access PIN for the conference call.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Participants joining the conference call should dial in at least 10 minutes before the scheduled start time.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live and archived webcast of the conference call will also be available at the Company's investor relations website at http://ir.lexin.com.</w:t>
      </w:r>
    </w:p>
    <w:p>
      <w:pPr>
        <w:pStyle w:val="TextBody"/>
        <w:bidi w:val="0"/>
        <w:spacing w:before="120" w:after="120"/>
        <w:jc w:val="left"/>
        <w:rPr>
          <w:rFonts w:ascii="Times New Roman" w:hAnsi="Times New Roman"/>
          <w:b/>
          <w:color w:val="000000"/>
          <w:sz w:val="20"/>
        </w:rPr>
      </w:pPr>
      <w:r>
        <w:rPr>
          <w:rFonts w:ascii="Times New Roman" w:hAnsi="Times New Roman"/>
          <w:b/>
          <w:color w:val="000000"/>
          <w:sz w:val="20"/>
        </w:rPr>
        <w:t>About LexinFintech Holdings Ltd.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are a leading credit technology-empowered personal financial service enabler. Our mission is to use technology and risk management expertise to make financing more accessible for young generation consumers. We strive to achieve this mission by connecting consumers with financial institutions, where we facilitate through a unique model that includes online and offline channels, installment consumption platform, big data and AI driven credit risk management capabilities, as well as smart user and loan management systems. We also empower financial institutions by providing cutting-edge proprietary technology solutions to meet their needs of financial digital transformation.</w:t>
      </w:r>
    </w:p>
    <w:p>
      <w:pPr>
        <w:pStyle w:val="TextBody"/>
        <w:bidi w:val="0"/>
        <w:spacing w:before="40" w:after="120"/>
        <w:jc w:val="left"/>
        <w:rPr>
          <w:rFonts w:ascii="Times New Roman" w:hAnsi="Times New Roman"/>
          <w:sz w:val="20"/>
        </w:rPr>
      </w:pPr>
      <w:r>
        <w:rPr>
          <w:rFonts w:ascii="Times New Roman" w:hAnsi="Times New Roman"/>
          <w:color w:val="000000"/>
          <w:sz w:val="20"/>
        </w:rPr>
        <w:t xml:space="preserve">For more information, please visit </w:t>
      </w:r>
      <w:r>
        <w:rPr>
          <w:rFonts w:ascii="Times New Roman" w:hAnsi="Times New Roman"/>
          <w:sz w:val="20"/>
        </w:rPr>
        <w:t>http://ir.lexin.com</w:t>
      </w:r>
      <w:r>
        <w:rPr>
          <w:rFonts w:ascii="Times New Roman" w:hAnsi="Times New Roman"/>
          <w:color w:val="000000"/>
          <w:sz w:val="20"/>
        </w:rPr>
        <w:t>.</w:t>
      </w:r>
    </w:p>
    <w:p>
      <w:pPr>
        <w:pStyle w:val="TextBody"/>
        <w:bidi w:val="0"/>
        <w:spacing w:before="40" w:after="120"/>
        <w:jc w:val="left"/>
        <w:rPr>
          <w:rFonts w:ascii="Times New Roman" w:hAnsi="Times New Roman"/>
          <w:sz w:val="20"/>
        </w:rPr>
      </w:pPr>
      <w:r>
        <w:rPr>
          <w:rFonts w:ascii="Times New Roman" w:hAnsi="Times New Roman"/>
          <w:color w:val="000000"/>
          <w:sz w:val="20"/>
        </w:rPr>
        <w:t xml:space="preserve">To follow us on Twitter, please go to: </w:t>
      </w:r>
      <w:r>
        <w:rPr>
          <w:rFonts w:ascii="Times New Roman" w:hAnsi="Times New Roman"/>
          <w:sz w:val="20"/>
        </w:rPr>
        <w:t>https://twitter.com/LexinFintech</w:t>
      </w:r>
      <w:r>
        <w:rPr>
          <w:rFonts w:ascii="Times New Roman" w:hAnsi="Times New Roman"/>
          <w:color w:val="000000"/>
          <w:sz w:val="20"/>
        </w:rPr>
        <w:t>.</w:t>
      </w:r>
    </w:p>
    <w:p>
      <w:pPr>
        <w:pStyle w:val="TextBody"/>
        <w:bidi w:val="0"/>
        <w:spacing w:before="240" w:after="283"/>
        <w:jc w:val="center"/>
        <w:rPr>
          <w:rFonts w:ascii="Times New Roman" w:hAnsi="Times New Roman"/>
          <w:sz w:val="20"/>
        </w:rPr>
      </w:pPr>
      <w:r>
        <w:rPr>
          <w:rFonts w:ascii="Times New Roman" w:hAnsi="Times New Roman"/>
          <w:color w:val="000000"/>
          <w:sz w:val="18"/>
        </w:rPr>
        <w:t xml:space="preserve">Page </w:t>
      </w:r>
      <w:r>
        <w:rPr>
          <w:rFonts w:ascii="Times New Roman" w:hAnsi="Times New Roman"/>
          <w:b/>
          <w:color w:val="000000"/>
          <w:sz w:val="18"/>
        </w:rPr>
        <w:t>5</w:t>
      </w:r>
      <w:r>
        <w:rPr>
          <w:rFonts w:ascii="Times New Roman" w:hAnsi="Times New Roman"/>
          <w:color w:val="000000"/>
          <w:sz w:val="20"/>
        </w:rPr>
        <w:t xml:space="preserve"> </w:t>
      </w:r>
      <w:r>
        <w:rPr>
          <w:rFonts w:ascii="Times New Roman" w:hAnsi="Times New Roman"/>
          <w:color w:val="000000"/>
          <w:sz w:val="18"/>
        </w:rPr>
        <w:t xml:space="preserve">of </w:t>
      </w:r>
      <w:r>
        <w:rPr>
          <w:rFonts w:ascii="Times New Roman" w:hAnsi="Times New Roman"/>
          <w:b/>
          <w:color w:val="000000"/>
          <w:sz w:val="18"/>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120"/>
        <w:jc w:val="left"/>
        <w:rPr>
          <w:rFonts w:ascii="Times New Roman" w:hAnsi="Times New Roman"/>
          <w:b/>
          <w:color w:val="000000"/>
          <w:sz w:val="20"/>
        </w:rPr>
      </w:pPr>
      <w:r>
        <w:rPr>
          <w:rFonts w:ascii="Times New Roman" w:hAnsi="Times New Roman"/>
          <w:b/>
          <w:color w:val="000000"/>
          <w:sz w:val="20"/>
        </w:rPr>
        <w:t>Use of Non-GAAP Financial Measures Statement</w:t>
      </w:r>
    </w:p>
    <w:p>
      <w:pPr>
        <w:pStyle w:val="TextBody"/>
        <w:bidi w:val="0"/>
        <w:spacing w:before="40" w:after="120"/>
        <w:jc w:val="left"/>
        <w:rPr>
          <w:rFonts w:ascii="Times New Roman" w:hAnsi="Times New Roman"/>
          <w:color w:val="000000"/>
          <w:sz w:val="20"/>
        </w:rPr>
      </w:pPr>
      <w:r>
        <w:rPr>
          <w:rFonts w:ascii="Times New Roman" w:hAnsi="Times New Roman"/>
          <w:color w:val="000000"/>
          <w:sz w:val="20"/>
        </w:rPr>
        <w:t>In evaluating our business, we consider and use adjusted net income attributable to ordinary shareholders of the Company, non-GAAP EBIT, adjusted net income per ordinary share and per ADS attributable to ordinary shareholders of the Company, four non-GAAP measures, as supplemental measures to review and assess our operating performance. The presentation of the non-GAAP financial measures is not intended to be considered in isolation or as a substitute for the financial information prepared and presented in accordance with U.S. GAAP. We define adjusted net income attributable to ordinary shareholders of the Company as net income attributable to ordinary shareholders of the Company excluding share-based compensation expenses, interest expense associated with convertible notes, and investment income/(loss) and we define non-GAAP EBIT as net income excluding income tax expense, share-based compensation expenses, interest expense, net, and investment income/(loss).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present these non-GAAP financial measures because they are used by our management to evaluate our operating performance and formulate business plans. Adjusted net income attributable to ordinary shareholders of the Company enables our management to assess our operating results without considering the impact of share-based compensation expenses, interest expense associated with convertible notes, and investment income/(loss). Non-GAAP EBIT, on the other hand, enables our management to assess our operating results without considering the impact of income tax expense, share-based compensation expenses, interest expense, net, and investment income/(loss). We also believe that the use of these non-GAAP financial measures facilitates investors’ assessment of our operating performance. These non-GAAP financial measures are not defined under U.S. GAAP and are not presented in accordance with U.S. GAAP.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These non-GAAP financial measures have limitations as an analytical tool. One of the key limitations of using adjusted net income attributable to ordinary shareholders of the Company and non-GAAP EBIT is that they do not reflect all items of income and expense that affect our operations. Share-based compensation expenses, interest expense associated with convertible notes, income tax expense, interest expense, net, and investment income/(loss) have been and may continue to be incurred in our business and are not reflected in the presentation of adjusted net income attributable to ordinary shareholders of the Company and non-GAAP EBIT. Further, these non-GAAP financial measures may differ from the non-GAAP financial information used by other companies, including peer companies, and therefore their comparability may be limited.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compensate for these limitations by reconciling each of the non-GAAP financial measures to the most directly comparable U.S. GAAP financial measure, which should be considered when evaluating our performance. We encourage you to review our financial information in its entirety and not rely on a single financial measure.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Exchange Rate Information Statement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announcement contains translations of certain RMB amounts into U.S. dollars (“US$”) at specified rates solely for the convenience of the reader. Unless otherwise stated, all translations from RMB to US$ were made at the rate of RMB6.8980 to US$1.00, the exchange rate set forth in the H.10 statistical release of the Federal Reserve Board on March 31, 2026. The Company makes no representation that the RMB or US$ amounts referred could be converted into US$ or RMB, as the case may be, at any particular rate or at all.</w:t>
      </w:r>
    </w:p>
    <w:p>
      <w:pPr>
        <w:pStyle w:val="TextBody"/>
        <w:bidi w:val="0"/>
        <w:spacing w:before="240" w:after="283"/>
        <w:jc w:val="center"/>
        <w:rPr>
          <w:rFonts w:ascii="Times New Roman" w:hAnsi="Times New Roman"/>
          <w:sz w:val="20"/>
        </w:rPr>
      </w:pPr>
      <w:r>
        <w:rPr>
          <w:rFonts w:ascii="Times New Roman" w:hAnsi="Times New Roman"/>
          <w:color w:val="000000"/>
          <w:sz w:val="18"/>
        </w:rPr>
        <w:t xml:space="preserve">Page </w:t>
      </w:r>
      <w:r>
        <w:rPr>
          <w:rFonts w:ascii="Times New Roman" w:hAnsi="Times New Roman"/>
          <w:b/>
          <w:color w:val="000000"/>
          <w:sz w:val="18"/>
        </w:rPr>
        <w:t>6</w:t>
      </w:r>
      <w:r>
        <w:rPr>
          <w:rFonts w:ascii="Times New Roman" w:hAnsi="Times New Roman"/>
          <w:color w:val="000000"/>
          <w:sz w:val="20"/>
        </w:rPr>
        <w:t xml:space="preserve"> </w:t>
      </w:r>
      <w:r>
        <w:rPr>
          <w:rFonts w:ascii="Times New Roman" w:hAnsi="Times New Roman"/>
          <w:color w:val="000000"/>
          <w:sz w:val="18"/>
        </w:rPr>
        <w:t xml:space="preserve">of </w:t>
      </w:r>
      <w:r>
        <w:rPr>
          <w:rFonts w:ascii="Times New Roman" w:hAnsi="Times New Roman"/>
          <w:b/>
          <w:color w:val="000000"/>
          <w:sz w:val="18"/>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Safe Harbor Statement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announcement contains forward-looking statements. These statements are made under the “safe harbor” provisions of the U.S. Private Securities Litigation Reform Act of 1995. Statements that are not historical facts, including statements about Lexin’s beliefs and expectations, are forward-looking statements. These forward-looking statements can be identified by terminology such as “will,” “expects,” “anticipates,” “future,” “intends,” “plans,” “believes,” “estimates,” “confident” and similar statements. Among other things, the expectation of the collection efficiency and delinquency, business outlook and quotations from management in this announcement, contain forward-looking statements. Lexin may also make written or oral forward-looking statements in its periodic reports to the U.S. Securities and Exchange Commission (the “SEC”), in its annual report to shareholders, in press releases and other written materials and in oral statements made by its officers, directors or employees to third parties. Forward-looking statements involve inherent risks and uncertainties. A number of factors could cause actual results to differ materially from those contained in any forward-looking statement, including but not limited to the following: Lexin’s goal and strategies; Lexin’s expansion plans; Lexin’s future business development, financial condition and results of operations; Lexin’s expectation regarding demand for, and market acceptance of, its credit and investment management products; Lexin’s expectations regarding keeping and strengthening its relationship with borrowers, institutional funding partners, merchandise suppliers and other parties it collaborates with; general economic and business conditions; and assumptions underlying or related to any of the foregoing. Further information regarding these and other risks is included in Lexin’s filings with the SEC. All information provided in this press release and in the attachments is as of the date of this press release, and Lexin does not undertake any obligation to update any forward-looking statement, except as required under applicable law.</w:t>
      </w:r>
    </w:p>
    <w:p>
      <w:pPr>
        <w:pStyle w:val="TextBody"/>
        <w:bidi w:val="0"/>
        <w:spacing w:before="360" w:after="283"/>
        <w:jc w:val="left"/>
        <w:rPr>
          <w:rFonts w:ascii="Times New Roman" w:hAnsi="Times New Roman"/>
          <w:sz w:val="20"/>
        </w:rPr>
      </w:pPr>
      <w:r>
        <w:rPr>
          <w:rFonts w:ascii="Times New Roman" w:hAnsi="Times New Roman"/>
          <w:b/>
          <w:color w:val="000000"/>
          <w:sz w:val="20"/>
        </w:rPr>
        <w:t>For investor and media inquiries, please contact:</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LexinFintech Holdings Ltd.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IR inquiries: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Will Tan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Tel: +86 (755) 3637-8888 ext. 6258</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E-mail: willtan@lexin.com</w:t>
      </w:r>
    </w:p>
    <w:p>
      <w:pPr>
        <w:pStyle w:val="TextBody"/>
        <w:bidi w:val="0"/>
        <w:spacing w:before="0" w:after="12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Media inquiries: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Ruifeng Xu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Tel: +86 (755) 3637-8888 ext. 6993</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E-mail: media@lexin.com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SOURCE LexinFintech Holdings Ltd.</w:t>
      </w:r>
    </w:p>
    <w:p>
      <w:pPr>
        <w:pStyle w:val="TextBody"/>
        <w:bidi w:val="0"/>
        <w:spacing w:before="240" w:after="283"/>
        <w:jc w:val="center"/>
        <w:rPr>
          <w:rFonts w:ascii="Times New Roman" w:hAnsi="Times New Roman"/>
          <w:sz w:val="20"/>
        </w:rPr>
      </w:pPr>
      <w:r>
        <w:rPr>
          <w:rFonts w:ascii="Times New Roman" w:hAnsi="Times New Roman"/>
          <w:color w:val="000000"/>
          <w:sz w:val="18"/>
        </w:rPr>
        <w:t xml:space="preserve">Page </w:t>
      </w:r>
      <w:r>
        <w:rPr>
          <w:rFonts w:ascii="Times New Roman" w:hAnsi="Times New Roman"/>
          <w:b/>
          <w:color w:val="000000"/>
          <w:sz w:val="18"/>
        </w:rPr>
        <w:t>7</w:t>
      </w:r>
      <w:r>
        <w:rPr>
          <w:rFonts w:ascii="Times New Roman" w:hAnsi="Times New Roman"/>
          <w:color w:val="000000"/>
          <w:sz w:val="20"/>
        </w:rPr>
        <w:t xml:space="preserve"> </w:t>
      </w:r>
      <w:r>
        <w:rPr>
          <w:rFonts w:ascii="Times New Roman" w:hAnsi="Times New Roman"/>
          <w:color w:val="000000"/>
          <w:sz w:val="18"/>
        </w:rPr>
        <w:t xml:space="preserve">of </w:t>
      </w:r>
      <w:r>
        <w:rPr>
          <w:rFonts w:ascii="Times New Roman" w:hAnsi="Times New Roman"/>
          <w:b/>
          <w:color w:val="000000"/>
          <w:sz w:val="18"/>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LexinFintech Holdings Ltd.</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 Condensed Consolidated Balance Sheets</w:t>
      </w:r>
    </w:p>
    <w:tbl>
      <w:tblPr>
        <w:tblW w:w="8068" w:type="dxa"/>
        <w:jc w:val="left"/>
        <w:tblInd w:w="0" w:type="dxa"/>
        <w:tblLayout w:type="fixed"/>
        <w:tblCellMar>
          <w:top w:w="28" w:type="dxa"/>
          <w:left w:w="28" w:type="dxa"/>
          <w:bottom w:w="28" w:type="dxa"/>
          <w:right w:w="28" w:type="dxa"/>
        </w:tblCellMar>
      </w:tblPr>
      <w:tblGrid>
        <w:gridCol w:w="4306"/>
        <w:gridCol w:w="194"/>
        <w:gridCol w:w="1021"/>
        <w:gridCol w:w="151"/>
        <w:gridCol w:w="146"/>
        <w:gridCol w:w="766"/>
        <w:gridCol w:w="151"/>
        <w:gridCol w:w="146"/>
        <w:gridCol w:w="691"/>
        <w:gridCol w:w="496"/>
      </w:tblGrid>
      <w:tr>
        <w:trPr/>
        <w:tc>
          <w:tcPr>
            <w:tcW w:w="430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66"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As of</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4"/>
              </w:rPr>
            </w:pPr>
            <w:r>
              <w:rPr>
                <w:rFonts w:ascii="Times New Roman" w:hAnsi="Times New Roman"/>
                <w:b/>
                <w:color w:val="000000"/>
                <w:sz w:val="14"/>
              </w:rPr>
              <w:t>(In thousands)</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December 31, 2025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0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March 31, 2026</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RMB</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RMB</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US$</w:t>
            </w:r>
          </w:p>
        </w:tc>
        <w:tc>
          <w:tcPr>
            <w:tcW w:w="4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4"/>
              </w:rPr>
            </w:pPr>
            <w:r>
              <w:rPr>
                <w:rFonts w:ascii="Times New Roman" w:hAnsi="Times New Roman"/>
                <w:b/>
                <w:color w:val="000000"/>
                <w:sz w:val="14"/>
              </w:rPr>
              <w:t>ASSETS</w:t>
            </w:r>
          </w:p>
        </w:tc>
        <w:tc>
          <w:tcPr>
            <w:tcW w:w="12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4"/>
              </w:rPr>
            </w:pPr>
            <w:r>
              <w:rPr>
                <w:rFonts w:ascii="Times New Roman" w:hAnsi="Times New Roman"/>
                <w:b/>
                <w:color w:val="000000"/>
                <w:sz w:val="14"/>
              </w:rPr>
              <w:t>Current Assets</w:t>
            </w:r>
          </w:p>
        </w:tc>
        <w:tc>
          <w:tcPr>
            <w:tcW w:w="121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4"/>
              </w:rPr>
            </w:pPr>
            <w:r>
              <w:rPr>
                <w:rFonts w:ascii="Times New Roman" w:hAnsi="Times New Roman"/>
                <w:color w:val="000000"/>
                <w:sz w:val="14"/>
              </w:rPr>
              <w:t>Cash and cash equivalents</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2,156,133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1,578,364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228,815</w:t>
            </w:r>
          </w:p>
        </w:tc>
        <w:tc>
          <w:tcPr>
            <w:tcW w:w="49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4"/>
              </w:rPr>
            </w:pPr>
            <w:r>
              <w:rPr>
                <w:rFonts w:ascii="Times New Roman" w:hAnsi="Times New Roman"/>
                <w:color w:val="000000"/>
                <w:sz w:val="14"/>
              </w:rPr>
              <w:t>Restricted cash</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1,717,773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1,546,223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224,155</w:t>
            </w:r>
          </w:p>
        </w:tc>
        <w:tc>
          <w:tcPr>
            <w:tcW w:w="49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4"/>
              </w:rPr>
            </w:pPr>
            <w:r>
              <w:rPr>
                <w:rFonts w:ascii="Times New Roman" w:hAnsi="Times New Roman"/>
                <w:color w:val="000000"/>
                <w:sz w:val="14"/>
              </w:rPr>
              <w:t>Restricted term deposit and short-term investments</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78,458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111,552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16,172</w:t>
            </w:r>
          </w:p>
        </w:tc>
        <w:tc>
          <w:tcPr>
            <w:tcW w:w="49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sz w:val="14"/>
              </w:rPr>
            </w:pPr>
            <w:r>
              <w:rPr>
                <w:rFonts w:ascii="Times New Roman" w:hAnsi="Times New Roman"/>
                <w:color w:val="000000"/>
                <w:sz w:val="14"/>
              </w:rPr>
              <w:t>Short-term financing receivables, net</w:t>
            </w:r>
            <w:r>
              <w:rPr>
                <w:rFonts w:ascii="Times New Roman" w:hAnsi="Times New Roman"/>
                <w:color w:val="000000"/>
                <w:sz w:val="9"/>
              </w:rPr>
              <w:t>(1)</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5,450,418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4,995,983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724,265</w:t>
            </w:r>
          </w:p>
        </w:tc>
        <w:tc>
          <w:tcPr>
            <w:tcW w:w="49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sz w:val="14"/>
              </w:rPr>
            </w:pPr>
            <w:r>
              <w:rPr>
                <w:rFonts w:ascii="Times New Roman" w:hAnsi="Times New Roman"/>
                <w:color w:val="000000"/>
                <w:sz w:val="14"/>
              </w:rPr>
              <w:t>Short-term contract assets and receivables, net</w:t>
            </w:r>
            <w:r>
              <w:rPr>
                <w:rFonts w:ascii="Times New Roman" w:hAnsi="Times New Roman"/>
                <w:color w:val="000000"/>
                <w:sz w:val="9"/>
              </w:rPr>
              <w:t>(1)</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3,763,096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3,832,452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555,589</w:t>
            </w:r>
          </w:p>
        </w:tc>
        <w:tc>
          <w:tcPr>
            <w:tcW w:w="49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4"/>
              </w:rPr>
            </w:pPr>
            <w:r>
              <w:rPr>
                <w:rFonts w:ascii="Times New Roman" w:hAnsi="Times New Roman"/>
                <w:color w:val="000000"/>
                <w:sz w:val="14"/>
              </w:rPr>
              <w:t>Deposits to insurance companies and guarantee companies</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2,187,609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2,231,062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323,436</w:t>
            </w:r>
          </w:p>
        </w:tc>
        <w:tc>
          <w:tcPr>
            <w:tcW w:w="49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4"/>
              </w:rPr>
            </w:pPr>
            <w:r>
              <w:rPr>
                <w:rFonts w:ascii="Times New Roman" w:hAnsi="Times New Roman"/>
                <w:color w:val="000000"/>
                <w:sz w:val="14"/>
              </w:rPr>
              <w:t>Prepayments and other current assets</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2,858,054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3,416,870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495,342</w:t>
            </w:r>
          </w:p>
        </w:tc>
        <w:tc>
          <w:tcPr>
            <w:tcW w:w="49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4"/>
              </w:rPr>
            </w:pPr>
            <w:r>
              <w:rPr>
                <w:rFonts w:ascii="Times New Roman" w:hAnsi="Times New Roman"/>
                <w:color w:val="000000"/>
                <w:sz w:val="14"/>
              </w:rPr>
              <w:t>Amounts due from related parties</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84,531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116,874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16,943</w:t>
            </w:r>
          </w:p>
        </w:tc>
        <w:tc>
          <w:tcPr>
            <w:tcW w:w="49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4"/>
              </w:rPr>
            </w:pPr>
            <w:r>
              <w:rPr>
                <w:rFonts w:ascii="Times New Roman" w:hAnsi="Times New Roman"/>
                <w:color w:val="000000"/>
                <w:sz w:val="14"/>
              </w:rPr>
              <w:t>Inventories, net</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24,119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20,932</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3,035</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4"/>
              </w:rPr>
            </w:pPr>
            <w:r>
              <w:rPr>
                <w:rFonts w:ascii="Times New Roman" w:hAnsi="Times New Roman"/>
                <w:b/>
                <w:color w:val="000000"/>
                <w:sz w:val="14"/>
              </w:rPr>
              <w:t>Total Current Assets</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18,320,191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17,850,312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2,587,752</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4"/>
              </w:rPr>
            </w:pPr>
            <w:r>
              <w:rPr>
                <w:rFonts w:ascii="Times New Roman" w:hAnsi="Times New Roman"/>
                <w:b/>
                <w:color w:val="000000"/>
                <w:sz w:val="14"/>
              </w:rPr>
              <w:t>Non-current Assets</w:t>
            </w:r>
          </w:p>
        </w:tc>
        <w:tc>
          <w:tcPr>
            <w:tcW w:w="121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4"/>
              </w:rPr>
            </w:pPr>
            <w:r>
              <w:rPr>
                <w:rFonts w:ascii="Times New Roman" w:hAnsi="Times New Roman"/>
                <w:color w:val="000000"/>
                <w:sz w:val="14"/>
              </w:rPr>
              <w:t>Restricted cash</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91,937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71,082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10,305</w:t>
            </w:r>
          </w:p>
        </w:tc>
        <w:tc>
          <w:tcPr>
            <w:tcW w:w="49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sz w:val="14"/>
              </w:rPr>
            </w:pPr>
            <w:r>
              <w:rPr>
                <w:rFonts w:ascii="Times New Roman" w:hAnsi="Times New Roman"/>
                <w:color w:val="000000"/>
                <w:sz w:val="14"/>
              </w:rPr>
              <w:t>Long-term financing receivables, net</w:t>
            </w:r>
            <w:r>
              <w:rPr>
                <w:rFonts w:ascii="Times New Roman" w:hAnsi="Times New Roman"/>
                <w:color w:val="000000"/>
                <w:sz w:val="9"/>
              </w:rPr>
              <w:t>(1)</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167,378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162,213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23,516</w:t>
            </w:r>
          </w:p>
        </w:tc>
        <w:tc>
          <w:tcPr>
            <w:tcW w:w="49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sz w:val="14"/>
              </w:rPr>
            </w:pPr>
            <w:r>
              <w:rPr>
                <w:rFonts w:ascii="Times New Roman" w:hAnsi="Times New Roman"/>
                <w:color w:val="000000"/>
                <w:sz w:val="14"/>
              </w:rPr>
              <w:t>Long-term contract assets and receivables, net</w:t>
            </w:r>
            <w:r>
              <w:rPr>
                <w:rFonts w:ascii="Times New Roman" w:hAnsi="Times New Roman"/>
                <w:color w:val="000000"/>
                <w:sz w:val="9"/>
              </w:rPr>
              <w:t>(1)</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317,496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317,580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46,039</w:t>
            </w:r>
          </w:p>
        </w:tc>
        <w:tc>
          <w:tcPr>
            <w:tcW w:w="49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4"/>
              </w:rPr>
            </w:pPr>
            <w:r>
              <w:rPr>
                <w:rFonts w:ascii="Times New Roman" w:hAnsi="Times New Roman"/>
                <w:color w:val="000000"/>
                <w:sz w:val="14"/>
              </w:rPr>
              <w:t>Property, equipment and software, net</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895,046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959,103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139,041</w:t>
            </w:r>
          </w:p>
        </w:tc>
        <w:tc>
          <w:tcPr>
            <w:tcW w:w="49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4"/>
              </w:rPr>
            </w:pPr>
            <w:r>
              <w:rPr>
                <w:rFonts w:ascii="Times New Roman" w:hAnsi="Times New Roman"/>
                <w:color w:val="000000"/>
                <w:sz w:val="14"/>
              </w:rPr>
              <w:t>Land use rights, net</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828,467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819,867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118,856</w:t>
            </w:r>
          </w:p>
        </w:tc>
        <w:tc>
          <w:tcPr>
            <w:tcW w:w="49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4"/>
              </w:rPr>
            </w:pPr>
            <w:r>
              <w:rPr>
                <w:rFonts w:ascii="Times New Roman" w:hAnsi="Times New Roman"/>
                <w:color w:val="000000"/>
                <w:sz w:val="14"/>
              </w:rPr>
              <w:t>Long</w:t>
              <w:noBreakHyphen/>
              <w:t>term investments</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243,971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243,960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35,367</w:t>
            </w:r>
          </w:p>
        </w:tc>
        <w:tc>
          <w:tcPr>
            <w:tcW w:w="49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4"/>
              </w:rPr>
            </w:pPr>
            <w:r>
              <w:rPr>
                <w:rFonts w:ascii="Times New Roman" w:hAnsi="Times New Roman"/>
                <w:color w:val="000000"/>
                <w:sz w:val="14"/>
              </w:rPr>
              <w:t>Deferred tax assets</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1,763,235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1,848,738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268,011</w:t>
            </w:r>
          </w:p>
        </w:tc>
        <w:tc>
          <w:tcPr>
            <w:tcW w:w="49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4"/>
              </w:rPr>
            </w:pPr>
            <w:r>
              <w:rPr>
                <w:rFonts w:ascii="Times New Roman" w:hAnsi="Times New Roman"/>
                <w:color w:val="000000"/>
                <w:sz w:val="14"/>
              </w:rPr>
              <w:t>Other assets</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535,242</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493,903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71,601</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4"/>
              </w:rPr>
            </w:pPr>
            <w:r>
              <w:rPr>
                <w:rFonts w:ascii="Times New Roman" w:hAnsi="Times New Roman"/>
                <w:b/>
                <w:color w:val="000000"/>
                <w:sz w:val="14"/>
              </w:rPr>
              <w:t>Total Non-current Assets</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4,842,772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4,916,446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712,736</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4"/>
              </w:rPr>
            </w:pPr>
            <w:r>
              <w:rPr>
                <w:rFonts w:ascii="Times New Roman" w:hAnsi="Times New Roman"/>
                <w:b/>
                <w:color w:val="000000"/>
                <w:sz w:val="14"/>
              </w:rPr>
              <w:t>TOTAL ASSETS</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23,162,963</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22,766,758</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3,300,488</w:t>
            </w:r>
          </w:p>
        </w:tc>
        <w:tc>
          <w:tcPr>
            <w:tcW w:w="49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21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4"/>
              </w:rPr>
            </w:pPr>
            <w:r>
              <w:rPr>
                <w:rFonts w:ascii="Times New Roman" w:hAnsi="Times New Roman"/>
                <w:b/>
                <w:color w:val="000000"/>
                <w:sz w:val="14"/>
              </w:rPr>
              <w:t>LIABILITIES</w:t>
            </w:r>
          </w:p>
        </w:tc>
        <w:tc>
          <w:tcPr>
            <w:tcW w:w="121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4"/>
              </w:rPr>
            </w:pPr>
            <w:r>
              <w:rPr>
                <w:rFonts w:ascii="Times New Roman" w:hAnsi="Times New Roman"/>
                <w:b/>
                <w:color w:val="000000"/>
                <w:sz w:val="14"/>
              </w:rPr>
              <w:t>Current liabilities</w:t>
            </w:r>
          </w:p>
        </w:tc>
        <w:tc>
          <w:tcPr>
            <w:tcW w:w="121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4"/>
              </w:rPr>
            </w:pPr>
            <w:r>
              <w:rPr>
                <w:rFonts w:ascii="Times New Roman" w:hAnsi="Times New Roman"/>
                <w:color w:val="000000"/>
                <w:sz w:val="14"/>
              </w:rPr>
              <w:t>Accounts payable</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101,178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113,260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16,419</w:t>
            </w:r>
          </w:p>
        </w:tc>
        <w:tc>
          <w:tcPr>
            <w:tcW w:w="49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4"/>
              </w:rPr>
            </w:pPr>
            <w:r>
              <w:rPr>
                <w:rFonts w:ascii="Times New Roman" w:hAnsi="Times New Roman"/>
                <w:color w:val="000000"/>
                <w:sz w:val="14"/>
              </w:rPr>
              <w:t>Amounts due to related parties</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8,708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8,334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1,208</w:t>
            </w:r>
          </w:p>
        </w:tc>
        <w:tc>
          <w:tcPr>
            <w:tcW w:w="49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4"/>
              </w:rPr>
            </w:pPr>
            <w:r>
              <w:rPr>
                <w:rFonts w:ascii="Times New Roman" w:hAnsi="Times New Roman"/>
                <w:color w:val="000000"/>
                <w:sz w:val="14"/>
              </w:rPr>
              <w:t>Short-term borrowings and current portion of long-term borrowings</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905,791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864,977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125,395</w:t>
            </w:r>
          </w:p>
        </w:tc>
        <w:tc>
          <w:tcPr>
            <w:tcW w:w="49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4"/>
              </w:rPr>
            </w:pPr>
            <w:r>
              <w:rPr>
                <w:rFonts w:ascii="Times New Roman" w:hAnsi="Times New Roman"/>
                <w:color w:val="000000"/>
                <w:sz w:val="14"/>
              </w:rPr>
              <w:t>Short</w:t>
              <w:noBreakHyphen/>
              <w:t>term funding debts</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2,440,685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1,418,034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205,572</w:t>
            </w:r>
          </w:p>
        </w:tc>
        <w:tc>
          <w:tcPr>
            <w:tcW w:w="49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4"/>
              </w:rPr>
            </w:pPr>
            <w:r>
              <w:rPr>
                <w:rFonts w:ascii="Times New Roman" w:hAnsi="Times New Roman"/>
                <w:color w:val="000000"/>
                <w:sz w:val="14"/>
              </w:rPr>
              <w:t>Deferred guarantee income</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1,305,911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1,372,030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198,903</w:t>
            </w:r>
          </w:p>
        </w:tc>
        <w:tc>
          <w:tcPr>
            <w:tcW w:w="49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4"/>
              </w:rPr>
            </w:pPr>
            <w:r>
              <w:rPr>
                <w:rFonts w:ascii="Times New Roman" w:hAnsi="Times New Roman"/>
                <w:color w:val="000000"/>
                <w:sz w:val="14"/>
              </w:rPr>
              <w:t>Contingent guarantee liabilities</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544,191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381,635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55,325</w:t>
            </w:r>
          </w:p>
        </w:tc>
        <w:tc>
          <w:tcPr>
            <w:tcW w:w="49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4"/>
              </w:rPr>
            </w:pPr>
            <w:r>
              <w:rPr>
                <w:rFonts w:ascii="Times New Roman" w:hAnsi="Times New Roman"/>
                <w:color w:val="000000"/>
                <w:sz w:val="14"/>
              </w:rPr>
              <w:t>Accruals and other current liabilities</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4,371,484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4,652,999</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674,541</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4"/>
              </w:rPr>
            </w:pPr>
            <w:r>
              <w:rPr>
                <w:rFonts w:ascii="Times New Roman" w:hAnsi="Times New Roman"/>
                <w:b/>
                <w:color w:val="000000"/>
                <w:sz w:val="14"/>
              </w:rPr>
              <w:t>Total Current Liabilities</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9,677,948</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8,811,269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1,277,363</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4"/>
              </w:rPr>
            </w:pPr>
            <w:r>
              <w:rPr>
                <w:rFonts w:ascii="Times New Roman" w:hAnsi="Times New Roman"/>
                <w:b/>
                <w:color w:val="000000"/>
                <w:sz w:val="14"/>
              </w:rPr>
              <w:t>Non-current Liabilities</w:t>
            </w:r>
          </w:p>
        </w:tc>
        <w:tc>
          <w:tcPr>
            <w:tcW w:w="121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4"/>
              </w:rPr>
            </w:pPr>
            <w:r>
              <w:rPr>
                <w:rFonts w:ascii="Times New Roman" w:hAnsi="Times New Roman"/>
                <w:color w:val="000000"/>
                <w:sz w:val="14"/>
              </w:rPr>
              <w:t>Long-term borrowings</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566,015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620,145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89,902</w:t>
            </w:r>
          </w:p>
        </w:tc>
        <w:tc>
          <w:tcPr>
            <w:tcW w:w="49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4"/>
              </w:rPr>
            </w:pPr>
            <w:r>
              <w:rPr>
                <w:rFonts w:ascii="Times New Roman" w:hAnsi="Times New Roman"/>
                <w:color w:val="000000"/>
                <w:sz w:val="14"/>
              </w:rPr>
              <w:t>Long</w:t>
              <w:noBreakHyphen/>
              <w:t>term funding debts</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850,590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1,144,023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165,849</w:t>
            </w:r>
          </w:p>
        </w:tc>
        <w:tc>
          <w:tcPr>
            <w:tcW w:w="49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4"/>
              </w:rPr>
            </w:pPr>
            <w:r>
              <w:rPr>
                <w:rFonts w:ascii="Times New Roman" w:hAnsi="Times New Roman"/>
                <w:color w:val="000000"/>
                <w:sz w:val="14"/>
              </w:rPr>
              <w:t>Deferred tax liabilities</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105,212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78,450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11,373</w:t>
            </w:r>
          </w:p>
        </w:tc>
        <w:tc>
          <w:tcPr>
            <w:tcW w:w="49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4"/>
              </w:rPr>
            </w:pPr>
            <w:r>
              <w:rPr>
                <w:rFonts w:ascii="Times New Roman" w:hAnsi="Times New Roman"/>
                <w:color w:val="000000"/>
                <w:sz w:val="14"/>
              </w:rPr>
              <w:t>Other long-term liabilities</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10,567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8,421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1,221</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4"/>
              </w:rPr>
            </w:pPr>
            <w:r>
              <w:rPr>
                <w:rFonts w:ascii="Times New Roman" w:hAnsi="Times New Roman"/>
                <w:b/>
                <w:color w:val="000000"/>
                <w:sz w:val="14"/>
              </w:rPr>
              <w:t>Total Non-current Liabilities</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1,532,384</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1,851,039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268,345</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4"/>
              </w:rPr>
            </w:pPr>
            <w:r>
              <w:rPr>
                <w:rFonts w:ascii="Times New Roman" w:hAnsi="Times New Roman"/>
                <w:b/>
                <w:color w:val="000000"/>
                <w:sz w:val="14"/>
              </w:rPr>
              <w:t>TOTAL LIABILITIES</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11,210,332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10,662,308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1,545,708</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4"/>
              </w:rPr>
            </w:pPr>
            <w:r>
              <w:rPr>
                <w:rFonts w:ascii="Times New Roman" w:hAnsi="Times New Roman"/>
                <w:b/>
                <w:color w:val="000000"/>
                <w:sz w:val="14"/>
              </w:rPr>
              <w:t>Shareholders’ equity:</w:t>
            </w:r>
          </w:p>
        </w:tc>
        <w:tc>
          <w:tcPr>
            <w:tcW w:w="121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4"/>
              </w:rPr>
            </w:pPr>
            <w:r>
              <w:rPr>
                <w:rFonts w:ascii="Times New Roman" w:hAnsi="Times New Roman"/>
                <w:color w:val="000000"/>
                <w:sz w:val="14"/>
              </w:rPr>
              <w:t>Class A Ordinary Shares</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w:t>
            </w:r>
          </w:p>
        </w:tc>
        <w:tc>
          <w:tcPr>
            <w:tcW w:w="49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4"/>
              </w:rPr>
            </w:pPr>
            <w:r>
              <w:rPr>
                <w:rFonts w:ascii="Times New Roman" w:hAnsi="Times New Roman"/>
                <w:color w:val="000000"/>
                <w:sz w:val="14"/>
              </w:rPr>
              <w:t>Class B Ordinary Shares</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w:t>
            </w:r>
          </w:p>
        </w:tc>
        <w:tc>
          <w:tcPr>
            <w:tcW w:w="49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4"/>
              </w:rPr>
            </w:pPr>
            <w:r>
              <w:rPr>
                <w:rFonts w:ascii="Times New Roman" w:hAnsi="Times New Roman"/>
                <w:color w:val="000000"/>
                <w:sz w:val="14"/>
              </w:rPr>
              <w:t>Treasury stock</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(493,846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(570,140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(82,653</w:t>
            </w:r>
          </w:p>
        </w:tc>
        <w:tc>
          <w:tcPr>
            <w:tcW w:w="49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4"/>
              </w:rPr>
            </w:pPr>
            <w:r>
              <w:rPr>
                <w:rFonts w:ascii="Times New Roman" w:hAnsi="Times New Roman"/>
                <w:color w:val="000000"/>
                <w:sz w:val="14"/>
              </w:rPr>
              <w:t>)</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4"/>
              </w:rPr>
            </w:pPr>
            <w:r>
              <w:rPr>
                <w:rFonts w:ascii="Times New Roman" w:hAnsi="Times New Roman"/>
                <w:color w:val="000000"/>
                <w:sz w:val="14"/>
              </w:rPr>
              <w:t>Additional paid-in capital</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3,396,667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3,420,377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495,851</w:t>
            </w:r>
          </w:p>
        </w:tc>
        <w:tc>
          <w:tcPr>
            <w:tcW w:w="49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4"/>
              </w:rPr>
            </w:pPr>
            <w:r>
              <w:rPr>
                <w:rFonts w:ascii="Times New Roman" w:hAnsi="Times New Roman"/>
                <w:color w:val="000000"/>
                <w:sz w:val="14"/>
              </w:rPr>
              <w:t>Statutory reserves</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1,260,923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1,260,923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182,795</w:t>
            </w:r>
          </w:p>
        </w:tc>
        <w:tc>
          <w:tcPr>
            <w:tcW w:w="49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4"/>
              </w:rPr>
            </w:pPr>
            <w:r>
              <w:rPr>
                <w:rFonts w:ascii="Times New Roman" w:hAnsi="Times New Roman"/>
                <w:color w:val="000000"/>
                <w:sz w:val="14"/>
              </w:rPr>
              <w:t>Accumulated other comprehensive income</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(27,597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(24,635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(3,571</w:t>
            </w:r>
          </w:p>
        </w:tc>
        <w:tc>
          <w:tcPr>
            <w:tcW w:w="49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4"/>
              </w:rPr>
            </w:pPr>
            <w:r>
              <w:rPr>
                <w:rFonts w:ascii="Times New Roman" w:hAnsi="Times New Roman"/>
                <w:color w:val="000000"/>
                <w:sz w:val="14"/>
              </w:rPr>
              <w:t>)</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4"/>
              </w:rPr>
            </w:pPr>
            <w:r>
              <w:rPr>
                <w:rFonts w:ascii="Times New Roman" w:hAnsi="Times New Roman"/>
                <w:color w:val="000000"/>
                <w:sz w:val="14"/>
              </w:rPr>
              <w:t>Retained earnings</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7,816,234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8,017,674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1,162,319</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4"/>
              </w:rPr>
            </w:pPr>
            <w:r>
              <w:rPr>
                <w:rFonts w:ascii="Times New Roman" w:hAnsi="Times New Roman"/>
                <w:b/>
                <w:color w:val="000000"/>
                <w:sz w:val="14"/>
              </w:rPr>
              <w:t>Total shareholders’ equity</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11,952,631</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12,104,450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1,754,780</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4"/>
              </w:rPr>
            </w:pPr>
            <w:r>
              <w:rPr>
                <w:rFonts w:ascii="Times New Roman" w:hAnsi="Times New Roman"/>
                <w:b/>
                <w:color w:val="000000"/>
                <w:sz w:val="14"/>
              </w:rPr>
              <w:t>TOTAL LIABILITIES AND SHAREHOLDERS’ EQUITY</w:t>
            </w:r>
          </w:p>
        </w:tc>
        <w:tc>
          <w:tcPr>
            <w:tcW w:w="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23,162,963</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22,766,758</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3,300,488</w:t>
            </w:r>
          </w:p>
        </w:tc>
        <w:tc>
          <w:tcPr>
            <w:tcW w:w="4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color w:val="000000"/>
          <w:sz w:val="20"/>
        </w:rPr>
      </w:pPr>
      <w:r>
        <w:rPr>
          <w:rFonts w:ascii="Times New Roman" w:hAnsi="Times New Roman"/>
          <w:color w:val="000000"/>
          <w:sz w:val="20"/>
        </w:rPr>
        <w:t>__________________________</w:t>
      </w:r>
    </w:p>
    <w:p>
      <w:pPr>
        <w:pStyle w:val="TextBody"/>
        <w:bidi w:val="0"/>
        <w:spacing w:before="0" w:after="120"/>
        <w:jc w:val="left"/>
        <w:rPr>
          <w:rFonts w:ascii="Times New Roman" w:hAnsi="Times New Roman"/>
          <w:color w:val="000000"/>
          <w:sz w:val="14"/>
        </w:rPr>
      </w:pPr>
      <w:r>
        <w:rPr>
          <w:rFonts w:ascii="Times New Roman" w:hAnsi="Times New Roman"/>
          <w:color w:val="000000"/>
          <w:sz w:val="14"/>
        </w:rPr>
        <w:t xml:space="preserve">(1) Short-term financing receivables, net of allowance for credit losses of RMB198,694 and RMB208,703 as of December 31, 2025 and March 31, 2026, respectively. </w:t>
      </w:r>
    </w:p>
    <w:p>
      <w:pPr>
        <w:pStyle w:val="TextBody"/>
        <w:bidi w:val="0"/>
        <w:spacing w:before="0" w:after="120"/>
        <w:jc w:val="left"/>
        <w:rPr>
          <w:rFonts w:ascii="Times New Roman" w:hAnsi="Times New Roman"/>
          <w:color w:val="000000"/>
          <w:sz w:val="14"/>
        </w:rPr>
      </w:pPr>
      <w:r>
        <w:rPr>
          <w:rFonts w:ascii="Times New Roman" w:hAnsi="Times New Roman"/>
          <w:color w:val="000000"/>
          <w:sz w:val="14"/>
        </w:rPr>
        <w:t>Short-term contract assets and receivables, net of allowance for credit losses of RMB259,054 and RMB303,608 as of December 31, 2025 and March 31, 2026, respectively.</w:t>
      </w:r>
    </w:p>
    <w:p>
      <w:pPr>
        <w:pStyle w:val="TextBody"/>
        <w:bidi w:val="0"/>
        <w:spacing w:before="0" w:after="120"/>
        <w:jc w:val="left"/>
        <w:rPr>
          <w:rFonts w:ascii="Times New Roman" w:hAnsi="Times New Roman"/>
          <w:color w:val="000000"/>
          <w:sz w:val="14"/>
        </w:rPr>
      </w:pPr>
      <w:r>
        <w:rPr>
          <w:rFonts w:ascii="Times New Roman" w:hAnsi="Times New Roman"/>
          <w:color w:val="000000"/>
          <w:sz w:val="14"/>
        </w:rPr>
        <w:t xml:space="preserve">Long-term financing receivables, net of allowance for credit losses of RMB3,723 and RMB3,336 as of December 31, 2025 and March 31, 2026, respectively. </w:t>
      </w:r>
    </w:p>
    <w:p>
      <w:pPr>
        <w:pStyle w:val="TextBody"/>
        <w:bidi w:val="0"/>
        <w:spacing w:before="0" w:after="120"/>
        <w:jc w:val="left"/>
        <w:rPr>
          <w:rFonts w:ascii="Times New Roman" w:hAnsi="Times New Roman"/>
          <w:sz w:val="20"/>
        </w:rPr>
      </w:pPr>
      <w:r>
        <w:rPr>
          <w:rFonts w:ascii="Times New Roman" w:hAnsi="Times New Roman"/>
          <w:color w:val="000000"/>
          <w:sz w:val="14"/>
        </w:rPr>
        <w:t xml:space="preserve">Long-term contract assets and receivables, net of allowance for credit losses of RMB14,569 and RMB11,356 as of December 31, 2025 and March 31, 2026, respectively. </w:t>
      </w:r>
      <w:r>
        <w:rPr>
          <w:rFonts w:ascii="Times New Roman" w:hAnsi="Times New Roman"/>
          <w:color w:val="000000"/>
          <w:sz w:val="12"/>
        </w:rPr>
        <w:br/>
      </w:r>
      <w:r>
        <w:rPr>
          <w:rFonts w:ascii="Times New Roman" w:hAnsi="Times New Roman"/>
          <w:color w:val="000000"/>
          <w:sz w:val="20"/>
        </w:rPr>
        <w:t> </w:t>
      </w:r>
    </w:p>
    <w:p>
      <w:pPr>
        <w:pStyle w:val="TextBody"/>
        <w:bidi w:val="0"/>
        <w:spacing w:before="240" w:after="283"/>
        <w:jc w:val="center"/>
        <w:rPr>
          <w:rFonts w:ascii="Times New Roman" w:hAnsi="Times New Roman"/>
          <w:sz w:val="20"/>
        </w:rPr>
      </w:pPr>
      <w:r>
        <w:rPr>
          <w:rFonts w:ascii="Times New Roman" w:hAnsi="Times New Roman"/>
          <w:color w:val="000000"/>
          <w:sz w:val="18"/>
        </w:rPr>
        <w:t xml:space="preserve">Page </w:t>
      </w:r>
      <w:r>
        <w:rPr>
          <w:rFonts w:ascii="Times New Roman" w:hAnsi="Times New Roman"/>
          <w:b/>
          <w:color w:val="000000"/>
          <w:sz w:val="18"/>
        </w:rPr>
        <w:t>8</w:t>
      </w:r>
      <w:r>
        <w:rPr>
          <w:rFonts w:ascii="Times New Roman" w:hAnsi="Times New Roman"/>
          <w:color w:val="000000"/>
          <w:sz w:val="20"/>
        </w:rPr>
        <w:t xml:space="preserve"> </w:t>
      </w:r>
      <w:r>
        <w:rPr>
          <w:rFonts w:ascii="Times New Roman" w:hAnsi="Times New Roman"/>
          <w:color w:val="000000"/>
          <w:sz w:val="18"/>
        </w:rPr>
        <w:t xml:space="preserve">of </w:t>
      </w:r>
      <w:r>
        <w:rPr>
          <w:rFonts w:ascii="Times New Roman" w:hAnsi="Times New Roman"/>
          <w:b/>
          <w:color w:val="000000"/>
          <w:sz w:val="18"/>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LexinFintech Holdings Ltd.</w:t>
      </w:r>
    </w:p>
    <w:p>
      <w:pPr>
        <w:pStyle w:val="TextBody"/>
        <w:bidi w:val="0"/>
        <w:jc w:val="center"/>
        <w:rPr>
          <w:rFonts w:ascii="Times New Roman" w:hAnsi="Times New Roman"/>
          <w:b/>
          <w:color w:val="000000"/>
          <w:sz w:val="20"/>
        </w:rPr>
      </w:pPr>
      <w:r>
        <w:rPr>
          <w:rFonts w:ascii="Times New Roman" w:hAnsi="Times New Roman"/>
          <w:b/>
          <w:color w:val="000000"/>
          <w:sz w:val="20"/>
        </w:rPr>
        <w:t>Unaudited Condensed Consolidated Statements of Operations</w:t>
      </w:r>
    </w:p>
    <w:tbl>
      <w:tblPr>
        <w:tblW w:w="7891" w:type="dxa"/>
        <w:jc w:val="left"/>
        <w:tblInd w:w="0" w:type="dxa"/>
        <w:tblLayout w:type="fixed"/>
        <w:tblCellMar>
          <w:top w:w="28" w:type="dxa"/>
          <w:left w:w="28" w:type="dxa"/>
          <w:bottom w:w="28" w:type="dxa"/>
          <w:right w:w="28" w:type="dxa"/>
        </w:tblCellMar>
      </w:tblPr>
      <w:tblGrid>
        <w:gridCol w:w="4531"/>
        <w:gridCol w:w="146"/>
        <w:gridCol w:w="706"/>
        <w:gridCol w:w="151"/>
        <w:gridCol w:w="146"/>
        <w:gridCol w:w="706"/>
        <w:gridCol w:w="151"/>
        <w:gridCol w:w="146"/>
        <w:gridCol w:w="706"/>
        <w:gridCol w:w="151"/>
        <w:gridCol w:w="351"/>
      </w:tblGrid>
      <w:tr>
        <w:trPr/>
        <w:tc>
          <w:tcPr>
            <w:tcW w:w="4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ind w:left="0" w:right="0" w:firstLine="80"/>
              <w:jc w:val="left"/>
              <w:rPr>
                <w:sz w:val="4"/>
                <w:szCs w:val="4"/>
              </w:rPr>
            </w:pPr>
            <w:r>
              <w:rPr>
                <w:sz w:val="4"/>
                <w:szCs w:val="4"/>
              </w:rPr>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2858"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For the Three Months Ended March 31,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center"/>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b/>
                <w:color w:val="000000"/>
                <w:sz w:val="12"/>
              </w:rPr>
            </w:pPr>
            <w:r>
              <w:rPr>
                <w:rFonts w:ascii="Times New Roman" w:hAnsi="Times New Roman"/>
                <w:b/>
                <w:color w:val="000000"/>
                <w:sz w:val="12"/>
              </w:rPr>
              <w:t>(In thousands, except for share and per share data)</w:t>
            </w:r>
          </w:p>
        </w:tc>
        <w:tc>
          <w:tcPr>
            <w:tcW w:w="8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2025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5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2026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center"/>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8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RMB</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RMB</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US$</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Operating revenue:</w:t>
            </w:r>
          </w:p>
        </w:tc>
        <w:tc>
          <w:tcPr>
            <w:tcW w:w="8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b/>
                <w:color w:val="000000"/>
                <w:sz w:val="12"/>
              </w:rPr>
            </w:pPr>
            <w:r>
              <w:rPr>
                <w:rFonts w:ascii="Times New Roman" w:hAnsi="Times New Roman"/>
                <w:b/>
                <w:color w:val="000000"/>
                <w:sz w:val="12"/>
              </w:rPr>
              <w:t>Credit facilitation service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2,190,866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2,231,671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323,524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Loan facilitation and servicing fees-credit oriented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1,136,229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1,037,929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150,468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Guarantee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547,814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727,076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105,404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Financing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506,823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466,666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67,652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b/>
                <w:color w:val="000000"/>
                <w:sz w:val="12"/>
              </w:rPr>
            </w:pPr>
            <w:r>
              <w:rPr>
                <w:rFonts w:ascii="Times New Roman" w:hAnsi="Times New Roman"/>
                <w:b/>
                <w:color w:val="000000"/>
                <w:sz w:val="12"/>
              </w:rPr>
              <w:t>Tech-empowerment service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624,850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552,800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80,139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b/>
                <w:color w:val="000000"/>
                <w:sz w:val="12"/>
              </w:rPr>
            </w:pPr>
            <w:r>
              <w:rPr>
                <w:rFonts w:ascii="Times New Roman" w:hAnsi="Times New Roman"/>
                <w:b/>
                <w:color w:val="000000"/>
                <w:sz w:val="12"/>
              </w:rPr>
              <w:t>Installment e-commerce platform service income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288,383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524,667</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76,061</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operating revenue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3,104,099</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3,309,138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479,724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Operating cost</w:t>
            </w:r>
          </w:p>
        </w:tc>
        <w:tc>
          <w:tcPr>
            <w:tcW w:w="8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(262,032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(348,699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(50,551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Funding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(83,004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(55,642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(8,066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Processing and servicing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(551,141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(633,850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(91,889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Provision for financing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(182,149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(340,660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(49,385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Provision for contract assets and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(129,685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(136,509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(19,790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Provision for contingent guarantee liabilities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(677,180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(959,152</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(139,048</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operating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(1,885,191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(2,474,512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(358,729</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Gross profit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1,218,908</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834,626</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120,995</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Operating expenses:</w:t>
            </w:r>
          </w:p>
        </w:tc>
        <w:tc>
          <w:tcPr>
            <w:tcW w:w="8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Sales and marketing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(493,128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(511,956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(74,218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(155,626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(148,292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(21,498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General and administrative expenses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(100,753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(97,505</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(14,135</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operating expenses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(749,507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(757,753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(109,851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Change in fair value of financial guarantee derivatives and loans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74,639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161,219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23,372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Interest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(4,702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(5,308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(769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Investment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(11,699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(3,508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Others, net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3,832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40,130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5,818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Income before income tax expense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531,471</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269,406</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39,056</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Income tax expense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(101,147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(67,966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(9,853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Net income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430,324</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201,440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29,203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Net income attributable to ordinary shareholders of the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430,324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201,440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29,203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Net income per ordinary share attributable to ordinary shareholders of the Company</w:t>
            </w:r>
          </w:p>
        </w:tc>
        <w:tc>
          <w:tcPr>
            <w:tcW w:w="8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0.61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0.09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0.60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0.09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8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Net income per ADS attributable to ordinary shareholders of the Company</w:t>
            </w:r>
          </w:p>
        </w:tc>
        <w:tc>
          <w:tcPr>
            <w:tcW w:w="8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0.18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0.17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8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Weighted average ordinary shares outstanding</w:t>
            </w:r>
          </w:p>
        </w:tc>
        <w:tc>
          <w:tcPr>
            <w:tcW w:w="8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338,073,723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331,600,933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331,600,933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359,646,902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336,653,349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336,653,349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240" w:after="283"/>
        <w:jc w:val="center"/>
        <w:rPr>
          <w:rFonts w:ascii="Times New Roman" w:hAnsi="Times New Roman"/>
          <w:sz w:val="20"/>
        </w:rPr>
      </w:pPr>
      <w:r>
        <w:rPr>
          <w:rFonts w:ascii="Times New Roman" w:hAnsi="Times New Roman"/>
          <w:color w:val="000000"/>
          <w:sz w:val="18"/>
        </w:rPr>
        <w:t xml:space="preserve">Page </w:t>
      </w:r>
      <w:r>
        <w:rPr>
          <w:rFonts w:ascii="Times New Roman" w:hAnsi="Times New Roman"/>
          <w:b/>
          <w:color w:val="000000"/>
          <w:sz w:val="18"/>
        </w:rPr>
        <w:t>9</w:t>
      </w:r>
      <w:r>
        <w:rPr>
          <w:rFonts w:ascii="Times New Roman" w:hAnsi="Times New Roman"/>
          <w:color w:val="000000"/>
          <w:sz w:val="20"/>
        </w:rPr>
        <w:t xml:space="preserve"> </w:t>
      </w:r>
      <w:r>
        <w:rPr>
          <w:rFonts w:ascii="Times New Roman" w:hAnsi="Times New Roman"/>
          <w:color w:val="000000"/>
          <w:sz w:val="18"/>
        </w:rPr>
        <w:t xml:space="preserve">of </w:t>
      </w:r>
      <w:r>
        <w:rPr>
          <w:rFonts w:ascii="Times New Roman" w:hAnsi="Times New Roman"/>
          <w:b/>
          <w:color w:val="000000"/>
          <w:sz w:val="18"/>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LexinFintech Holdings Ltd.</w:t>
      </w:r>
    </w:p>
    <w:p>
      <w:pPr>
        <w:pStyle w:val="TextBody"/>
        <w:bidi w:val="0"/>
        <w:jc w:val="center"/>
        <w:rPr>
          <w:rFonts w:ascii="Times New Roman" w:hAnsi="Times New Roman"/>
          <w:b/>
          <w:color w:val="000000"/>
          <w:sz w:val="20"/>
        </w:rPr>
      </w:pPr>
      <w:r>
        <w:rPr>
          <w:rFonts w:ascii="Times New Roman" w:hAnsi="Times New Roman"/>
          <w:b/>
          <w:color w:val="000000"/>
          <w:sz w:val="20"/>
        </w:rPr>
        <w:t>Unaudited Condensed Consolidated Statements of Comprehensive Income</w:t>
      </w:r>
    </w:p>
    <w:p>
      <w:pPr>
        <w:pStyle w:val="TextBody"/>
        <w:bidi w:val="0"/>
        <w:jc w:val="left"/>
        <w:rPr/>
      </w:pPr>
      <w:r>
        <w:rPr/>
        <w:t> </w:t>
      </w:r>
    </w:p>
    <w:tbl>
      <w:tblPr>
        <w:tblW w:w="9623" w:type="dxa"/>
        <w:jc w:val="left"/>
        <w:tblInd w:w="0" w:type="dxa"/>
        <w:tblLayout w:type="fixed"/>
        <w:tblCellMar>
          <w:top w:w="28" w:type="dxa"/>
          <w:left w:w="28" w:type="dxa"/>
          <w:bottom w:w="28" w:type="dxa"/>
          <w:right w:w="28" w:type="dxa"/>
        </w:tblCellMar>
      </w:tblPr>
      <w:tblGrid>
        <w:gridCol w:w="6151"/>
        <w:gridCol w:w="159"/>
        <w:gridCol w:w="754"/>
        <w:gridCol w:w="181"/>
        <w:gridCol w:w="159"/>
        <w:gridCol w:w="754"/>
        <w:gridCol w:w="159"/>
        <w:gridCol w:w="159"/>
        <w:gridCol w:w="656"/>
        <w:gridCol w:w="491"/>
      </w:tblGrid>
      <w:tr>
        <w:trPr/>
        <w:tc>
          <w:tcPr>
            <w:tcW w:w="615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6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1"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March 31,</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9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87"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income</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430,324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201,440</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29,203</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Other comprehensive income</w:t>
            </w:r>
          </w:p>
        </w:tc>
        <w:tc>
          <w:tcPr>
            <w:tcW w:w="9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615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Foreign currency translation adjustment, net of nil tax</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(2,259</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2,962</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429</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comprehensive income</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428,065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204,402</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29,632</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comprehensive income attributable to ordinary shareholders of the Company</w:t>
            </w:r>
          </w:p>
        </w:tc>
        <w:tc>
          <w:tcPr>
            <w:tcW w:w="1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428,065</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204,402</w:t>
            </w:r>
          </w:p>
        </w:tc>
        <w:tc>
          <w:tcPr>
            <w:tcW w:w="1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29,632</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sz w:val="20"/>
        </w:rPr>
      </w:pPr>
      <w:r>
        <w:rPr>
          <w:rFonts w:ascii="Times New Roman" w:hAnsi="Times New Roman"/>
          <w:color w:val="000000"/>
          <w:sz w:val="18"/>
        </w:rPr>
        <w:t xml:space="preserve">Page </w:t>
      </w:r>
      <w:r>
        <w:rPr>
          <w:rFonts w:ascii="Times New Roman" w:hAnsi="Times New Roman"/>
          <w:b/>
          <w:color w:val="000000"/>
          <w:sz w:val="18"/>
        </w:rPr>
        <w:t>10</w:t>
      </w:r>
      <w:r>
        <w:rPr>
          <w:rFonts w:ascii="Times New Roman" w:hAnsi="Times New Roman"/>
          <w:color w:val="000000"/>
          <w:sz w:val="20"/>
        </w:rPr>
        <w:t xml:space="preserve"> </w:t>
      </w:r>
      <w:r>
        <w:rPr>
          <w:rFonts w:ascii="Times New Roman" w:hAnsi="Times New Roman"/>
          <w:color w:val="000000"/>
          <w:sz w:val="18"/>
        </w:rPr>
        <w:t xml:space="preserve">of </w:t>
      </w:r>
      <w:r>
        <w:rPr>
          <w:rFonts w:ascii="Times New Roman" w:hAnsi="Times New Roman"/>
          <w:b/>
          <w:color w:val="000000"/>
          <w:sz w:val="18"/>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LexinFintech Holdings Ltd.</w:t>
      </w:r>
    </w:p>
    <w:p>
      <w:pPr>
        <w:pStyle w:val="TextBody"/>
        <w:bidi w:val="0"/>
        <w:jc w:val="center"/>
        <w:rPr>
          <w:rFonts w:ascii="Times New Roman" w:hAnsi="Times New Roman"/>
          <w:b/>
          <w:color w:val="000000"/>
          <w:sz w:val="20"/>
        </w:rPr>
      </w:pPr>
      <w:r>
        <w:rPr>
          <w:rFonts w:ascii="Times New Roman" w:hAnsi="Times New Roman"/>
          <w:b/>
          <w:color w:val="000000"/>
          <w:sz w:val="20"/>
        </w:rPr>
        <w:t>Unaudited Reconciliations of GAAP and Non-GAAP Results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515"/>
        <w:gridCol w:w="146"/>
        <w:gridCol w:w="841"/>
        <w:gridCol w:w="146"/>
        <w:gridCol w:w="146"/>
        <w:gridCol w:w="841"/>
        <w:gridCol w:w="146"/>
        <w:gridCol w:w="146"/>
        <w:gridCol w:w="841"/>
        <w:gridCol w:w="146"/>
        <w:gridCol w:w="291"/>
      </w:tblGrid>
      <w:tr>
        <w:trPr/>
        <w:tc>
          <w:tcPr>
            <w:tcW w:w="65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65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3"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For the Three Months Ended March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5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(In thousands, except for share and per share data)</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2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5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RMB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RMB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65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4"/>
              </w:rPr>
            </w:pPr>
            <w:r>
              <w:rPr>
                <w:rFonts w:ascii="Times New Roman" w:hAnsi="Times New Roman"/>
                <w:b/>
                <w:color w:val="000000"/>
                <w:sz w:val="14"/>
              </w:rPr>
              <w:t>Reconciliation of Adjusted net income attributable to ordinary shareholders of the Company to Net income attributable to ordinary shareholders of the Company</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65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Net income attributable to ordinary shareholders of the Company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430,324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201,440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29,203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5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Add: Share-based compensation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29,541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23,106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5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Investment loss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11,699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3,508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5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4"/>
              </w:rPr>
            </w:pPr>
            <w:r>
              <w:rPr>
                <w:rFonts w:ascii="Times New Roman" w:hAnsi="Times New Roman"/>
                <w:b/>
                <w:color w:val="000000"/>
                <w:sz w:val="14"/>
              </w:rPr>
              <w:t>Adjusted net income attributable to ordinary shareholders of the Company</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471,564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228,054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33,062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5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5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4"/>
              </w:rPr>
            </w:pPr>
            <w:r>
              <w:rPr>
                <w:rFonts w:ascii="Times New Roman" w:hAnsi="Times New Roman"/>
                <w:b/>
                <w:color w:val="000000"/>
                <w:sz w:val="14"/>
              </w:rPr>
              <w:t>Adjusted net income per ordinary share attributable to ordinary shareholders of the Company</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5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5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5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5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4"/>
              </w:rPr>
            </w:pPr>
            <w:r>
              <w:rPr>
                <w:rFonts w:ascii="Times New Roman" w:hAnsi="Times New Roman"/>
                <w:b/>
                <w:color w:val="000000"/>
                <w:sz w:val="14"/>
              </w:rPr>
              <w:t>Adjusted net income per ADS attributable to ordinary shareholders of the Company</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5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5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5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5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4"/>
              </w:rPr>
            </w:pPr>
            <w:r>
              <w:rPr>
                <w:rFonts w:ascii="Times New Roman" w:hAnsi="Times New Roman"/>
                <w:b/>
                <w:color w:val="000000"/>
                <w:sz w:val="14"/>
              </w:rPr>
              <w:t>Weighted average shares used in calculating net income per ordinary share for non-GAAP EPS</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5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338,073,723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331,600,933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331,600,933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5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359,646,902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336,653,349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336,653,349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5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5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4"/>
              </w:rPr>
            </w:pPr>
            <w:r>
              <w:rPr>
                <w:rFonts w:ascii="Times New Roman" w:hAnsi="Times New Roman"/>
                <w:b/>
                <w:color w:val="000000"/>
                <w:sz w:val="14"/>
              </w:rPr>
              <w:t>Reconciliations of Non-GAAP EBIT to Net income</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5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430,324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201,440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29,203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5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Add: 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101,147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67,966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9,853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5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Share-based compensation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29,541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23,106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5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Interest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4,702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5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Investment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11,699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5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4"/>
              </w:rPr>
            </w:pPr>
            <w:r>
              <w:rPr>
                <w:rFonts w:ascii="Times New Roman" w:hAnsi="Times New Roman"/>
                <w:b/>
                <w:color w:val="000000"/>
                <w:sz w:val="14"/>
              </w:rPr>
              <w:t>Non-GAAP EBIT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577,413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301,328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43,684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sz w:val="20"/>
        </w:rPr>
      </w:pPr>
      <w:r>
        <w:rPr>
          <w:rFonts w:ascii="Times New Roman" w:hAnsi="Times New Roman"/>
          <w:color w:val="000000"/>
          <w:sz w:val="18"/>
        </w:rPr>
        <w:t xml:space="preserve">Page </w:t>
      </w:r>
      <w:r>
        <w:rPr>
          <w:rFonts w:ascii="Times New Roman" w:hAnsi="Times New Roman"/>
          <w:b/>
          <w:color w:val="000000"/>
          <w:sz w:val="18"/>
        </w:rPr>
        <w:t>11</w:t>
      </w:r>
      <w:r>
        <w:rPr>
          <w:rFonts w:ascii="Times New Roman" w:hAnsi="Times New Roman"/>
          <w:color w:val="000000"/>
          <w:sz w:val="20"/>
        </w:rPr>
        <w:t xml:space="preserve"> </w:t>
      </w:r>
      <w:r>
        <w:rPr>
          <w:rFonts w:ascii="Times New Roman" w:hAnsi="Times New Roman"/>
          <w:color w:val="000000"/>
          <w:sz w:val="18"/>
        </w:rPr>
        <w:t xml:space="preserve">of </w:t>
      </w:r>
      <w:r>
        <w:rPr>
          <w:rFonts w:ascii="Times New Roman" w:hAnsi="Times New Roman"/>
          <w:b/>
          <w:color w:val="000000"/>
          <w:sz w:val="18"/>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Additional Credit Information</w:t>
      </w:r>
    </w:p>
    <w:p>
      <w:pPr>
        <w:pStyle w:val="TextBody"/>
        <w:bidi w:val="0"/>
        <w:spacing w:before="120" w:after="283"/>
        <w:jc w:val="left"/>
        <w:rPr>
          <w:rFonts w:ascii="Times New Roman" w:hAnsi="Times New Roman"/>
          <w:sz w:val="20"/>
        </w:rPr>
      </w:pPr>
      <w:r>
        <w:rPr>
          <w:rFonts w:ascii="Times New Roman" w:hAnsi="Times New Roman"/>
          <w:b/>
          <w:color w:val="000000"/>
          <w:sz w:val="20"/>
        </w:rPr>
        <w:t>Vintage Charge Off Curve</w:t>
      </w:r>
      <w:r>
        <w:rPr>
          <w:rFonts w:ascii="Times New Roman" w:hAnsi="Times New Roman"/>
          <w:b/>
          <w:color w:val="000000"/>
          <w:sz w:val="13"/>
        </w:rPr>
        <w:t>1</w:t>
      </w:r>
    </w:p>
    <w:p>
      <w:pPr>
        <w:pStyle w:val="TextBody"/>
        <w:bidi w:val="0"/>
        <w:spacing w:before="120" w:after="283"/>
        <w:jc w:val="left"/>
        <w:rPr/>
      </w:pPr>
      <w:r>
        <w:rPr/>
        <w:drawing>
          <wp:inline distT="0" distB="0" distL="0" distR="0">
            <wp:extent cx="5943600" cy="26384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943600" cy="2638425"/>
                    </a:xfrm>
                    <a:prstGeom prst="rect">
                      <a:avLst/>
                    </a:prstGeom>
                  </pic:spPr>
                </pic:pic>
              </a:graphicData>
            </a:graphic>
          </wp:inline>
        </w:drawing>
      </w:r>
    </w:p>
    <w:p>
      <w:pPr>
        <w:pStyle w:val="TextBody"/>
        <w:bidi w:val="0"/>
        <w:spacing w:before="120" w:after="283"/>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Dpd30+/GMV by Performance Windows</w:t>
      </w:r>
      <w:r>
        <w:rPr>
          <w:rFonts w:ascii="Times New Roman" w:hAnsi="Times New Roman"/>
          <w:b/>
          <w:color w:val="000000"/>
          <w:sz w:val="13"/>
        </w:rPr>
        <w:t>1</w:t>
      </w:r>
    </w:p>
    <w:p>
      <w:pPr>
        <w:pStyle w:val="TextBody"/>
        <w:bidi w:val="0"/>
        <w:spacing w:before="120" w:after="283"/>
        <w:jc w:val="left"/>
        <w:rPr/>
      </w:pPr>
      <w:r>
        <w:rPr/>
        <w:drawing>
          <wp:inline distT="0" distB="0" distL="0" distR="0">
            <wp:extent cx="5943600" cy="26193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943600" cy="2619375"/>
                    </a:xfrm>
                    <a:prstGeom prst="rect">
                      <a:avLst/>
                    </a:prstGeom>
                  </pic:spPr>
                </pic:pic>
              </a:graphicData>
            </a:graphic>
          </wp:inline>
        </w:drawing>
      </w:r>
    </w:p>
    <w:p>
      <w:pPr>
        <w:pStyle w:val="TextBody"/>
        <w:bidi w:val="0"/>
        <w:spacing w:before="120" w:after="283"/>
        <w:jc w:val="left"/>
        <w:rPr/>
      </w:pPr>
      <w:r>
        <w:rPr/>
        <w:t> </w:t>
      </w:r>
    </w:p>
    <w:p>
      <w:pPr>
        <w:pStyle w:val="TextBody"/>
        <w:bidi w:val="0"/>
        <w:spacing w:before="120" w:after="283"/>
        <w:jc w:val="left"/>
        <w:rPr/>
      </w:pPr>
      <w:r>
        <w:rPr/>
        <w:t> </w:t>
      </w:r>
    </w:p>
    <w:p>
      <w:pPr>
        <w:pStyle w:val="TextBody"/>
        <w:bidi w:val="0"/>
        <w:spacing w:before="120" w:after="283"/>
        <w:jc w:val="left"/>
        <w:rPr/>
      </w:pPr>
      <w:r>
        <w:rPr/>
        <w:t> </w:t>
      </w:r>
    </w:p>
    <w:p>
      <w:pPr>
        <w:pStyle w:val="TextBody"/>
        <w:bidi w:val="0"/>
        <w:spacing w:before="120" w:after="283"/>
        <w:jc w:val="left"/>
        <w:rPr/>
      </w:pPr>
      <w:r>
        <w:rPr/>
        <w:t> </w:t>
      </w:r>
    </w:p>
    <w:p>
      <w:pPr>
        <w:pStyle w:val="TextBody"/>
        <w:bidi w:val="0"/>
        <w:spacing w:before="120" w:after="283"/>
        <w:jc w:val="left"/>
        <w:rPr/>
      </w:pPr>
      <w:r>
        <w:rPr/>
        <w:t> </w:t>
      </w:r>
    </w:p>
    <w:p>
      <w:pPr>
        <w:pStyle w:val="TextBody"/>
        <w:bidi w:val="0"/>
        <w:spacing w:before="120" w:after="283"/>
        <w:jc w:val="left"/>
        <w:rPr/>
      </w:pPr>
      <w:r>
        <w:rPr/>
        <w:t> </w:t>
      </w:r>
    </w:p>
    <w:p>
      <w:pPr>
        <w:pStyle w:val="TextBody"/>
        <w:bidi w:val="0"/>
        <w:spacing w:before="120" w:after="283"/>
        <w:jc w:val="left"/>
        <w:rPr/>
      </w:pPr>
      <w:r>
        <w:rPr/>
        <w:t> </w:t>
      </w:r>
    </w:p>
    <w:p>
      <w:pPr>
        <w:pStyle w:val="TextBody"/>
        <w:bidi w:val="0"/>
        <w:spacing w:before="120" w:after="283"/>
        <w:jc w:val="left"/>
        <w:rPr/>
      </w:pPr>
      <w:r>
        <w:rPr/>
        <w:t> </w:t>
      </w:r>
    </w:p>
    <w:p>
      <w:pPr>
        <w:pStyle w:val="TextBody"/>
        <w:bidi w:val="0"/>
        <w:spacing w:before="120" w:after="283"/>
        <w:jc w:val="left"/>
        <w:rPr/>
      </w:pPr>
      <w:r>
        <w:rPr/>
        <w:t> </w:t>
      </w:r>
    </w:p>
    <w:p>
      <w:pPr>
        <w:pStyle w:val="TextBody"/>
        <w:bidi w:val="0"/>
        <w:spacing w:before="240" w:after="283"/>
        <w:jc w:val="center"/>
        <w:rPr>
          <w:rFonts w:ascii="Times New Roman" w:hAnsi="Times New Roman"/>
          <w:sz w:val="20"/>
        </w:rPr>
      </w:pPr>
      <w:r>
        <w:rPr>
          <w:rFonts w:ascii="Times New Roman" w:hAnsi="Times New Roman"/>
          <w:color w:val="000000"/>
          <w:sz w:val="18"/>
        </w:rPr>
        <w:t xml:space="preserve">Page </w:t>
      </w:r>
      <w:r>
        <w:rPr>
          <w:rFonts w:ascii="Times New Roman" w:hAnsi="Times New Roman"/>
          <w:b/>
          <w:color w:val="000000"/>
          <w:sz w:val="18"/>
        </w:rPr>
        <w:t>12</w:t>
      </w:r>
      <w:r>
        <w:rPr>
          <w:rFonts w:ascii="Times New Roman" w:hAnsi="Times New Roman"/>
          <w:color w:val="000000"/>
          <w:sz w:val="20"/>
        </w:rPr>
        <w:t xml:space="preserve"> </w:t>
      </w:r>
      <w:r>
        <w:rPr>
          <w:rFonts w:ascii="Times New Roman" w:hAnsi="Times New Roman"/>
          <w:color w:val="000000"/>
          <w:sz w:val="18"/>
        </w:rPr>
        <w:t xml:space="preserve">of </w:t>
      </w:r>
      <w:r>
        <w:rPr>
          <w:rFonts w:ascii="Times New Roman" w:hAnsi="Times New Roman"/>
          <w:b/>
          <w:color w:val="000000"/>
          <w:sz w:val="18"/>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First Payment Default 30+</w:t>
      </w:r>
      <w:r>
        <w:rPr>
          <w:rFonts w:ascii="Times New Roman" w:hAnsi="Times New Roman"/>
          <w:b/>
          <w:color w:val="000000"/>
          <w:sz w:val="13"/>
        </w:rPr>
        <w:t>1</w:t>
      </w:r>
    </w:p>
    <w:p>
      <w:pPr>
        <w:pStyle w:val="TextBody"/>
        <w:bidi w:val="0"/>
        <w:spacing w:before="120" w:after="283"/>
        <w:jc w:val="left"/>
        <w:rPr/>
      </w:pPr>
      <w:r>
        <w:rPr/>
        <w:t> </w:t>
      </w:r>
    </w:p>
    <w:p>
      <w:pPr>
        <w:pStyle w:val="TextBody"/>
        <w:bidi w:val="0"/>
        <w:spacing w:before="0" w:after="160"/>
        <w:jc w:val="left"/>
        <w:rPr/>
      </w:pPr>
      <w:r>
        <w:rPr/>
        <w:drawing>
          <wp:inline distT="0" distB="0" distL="0" distR="0">
            <wp:extent cx="5943600" cy="22383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943600" cy="2238375"/>
                    </a:xfrm>
                    <a:prstGeom prst="rect">
                      <a:avLst/>
                    </a:prstGeom>
                  </pic:spPr>
                </pic:pic>
              </a:graphicData>
            </a:graphic>
          </wp:inline>
        </w:drawing>
      </w:r>
      <w:r>
        <w:rPr>
          <w:rFonts w:ascii="Times New Roman" w:hAnsi="Times New Roman"/>
          <w:i/>
          <w:color w:val="000000"/>
          <w:sz w:val="15"/>
        </w:rPr>
        <w:t>1. Loans facilitated under ICP and E-commerce business are excluded from the charts.</w:t>
      </w:r>
    </w:p>
    <w:p>
      <w:pPr>
        <w:pStyle w:val="TextBody"/>
        <w:bidi w:val="0"/>
        <w:spacing w:before="240" w:after="283"/>
        <w:jc w:val="center"/>
        <w:rPr>
          <w:rFonts w:ascii="Times New Roman" w:hAnsi="Times New Roman"/>
          <w:sz w:val="20"/>
        </w:rPr>
      </w:pPr>
      <w:r>
        <w:rPr>
          <w:rFonts w:ascii="Times New Roman" w:hAnsi="Times New Roman"/>
          <w:color w:val="000000"/>
          <w:sz w:val="18"/>
        </w:rPr>
        <w:t xml:space="preserve">Page </w:t>
      </w:r>
      <w:r>
        <w:rPr>
          <w:rFonts w:ascii="Times New Roman" w:hAnsi="Times New Roman"/>
          <w:b/>
          <w:color w:val="000000"/>
          <w:sz w:val="18"/>
        </w:rPr>
        <w:t>13</w:t>
      </w:r>
      <w:r>
        <w:rPr>
          <w:rFonts w:ascii="Times New Roman" w:hAnsi="Times New Roman"/>
          <w:color w:val="000000"/>
          <w:sz w:val="20"/>
        </w:rPr>
        <w:t xml:space="preserve"> </w:t>
      </w:r>
      <w:r>
        <w:rPr>
          <w:rFonts w:ascii="Times New Roman" w:hAnsi="Times New Roman"/>
          <w:color w:val="000000"/>
          <w:sz w:val="18"/>
        </w:rPr>
        <w:t xml:space="preserve">of </w:t>
      </w:r>
      <w:r>
        <w:rPr>
          <w:rFonts w:ascii="Times New Roman" w:hAnsi="Times New Roman"/>
          <w:b/>
          <w:color w:val="000000"/>
          <w:sz w:val="18"/>
        </w:rPr>
        <w:t>13</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image" Target="media/image2.gif"/><Relationship Id="rId4" Type="http://schemas.openxmlformats.org/officeDocument/2006/relationships/image" Target="media/image3.gif"/><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4460</Words>
  <Characters>25717</Characters>
  <CharactersWithSpaces>30403</CharactersWithSpaces>
  <Paragraphs>1531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